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9997" w14:textId="77777777" w:rsidR="00B311F0" w:rsidRDefault="00B311F0">
      <w:pPr>
        <w:pStyle w:val="TOCHeading"/>
        <w:rPr>
          <w:rFonts w:ascii="Verdana" w:eastAsiaTheme="minorHAnsi" w:hAnsi="Verdana" w:cstheme="minorBidi"/>
          <w:color w:val="auto"/>
          <w:sz w:val="24"/>
          <w:szCs w:val="22"/>
        </w:rPr>
      </w:pPr>
    </w:p>
    <w:p w14:paraId="4B7332FC" w14:textId="77777777" w:rsidR="00B311F0" w:rsidRDefault="00B311F0" w:rsidP="00B311F0">
      <w:pPr>
        <w:spacing w:after="0"/>
        <w:ind w:left="-360"/>
        <w:jc w:val="center"/>
        <w:rPr>
          <w:rFonts w:eastAsiaTheme="majorEastAsia" w:cstheme="majorBidi"/>
          <w:b/>
          <w:spacing w:val="-10"/>
          <w:kern w:val="28"/>
          <w:sz w:val="56"/>
          <w:szCs w:val="56"/>
        </w:rPr>
      </w:pPr>
      <w:r w:rsidRPr="003C1DB0">
        <w:rPr>
          <w:rFonts w:eastAsiaTheme="majorEastAsia" w:cstheme="majorBidi"/>
          <w:b/>
          <w:spacing w:val="-10"/>
          <w:kern w:val="28"/>
          <w:sz w:val="56"/>
          <w:szCs w:val="56"/>
        </w:rPr>
        <w:t xml:space="preserve">A Report on Texas Service Animal Issues and </w:t>
      </w:r>
    </w:p>
    <w:p w14:paraId="1D77D46D" w14:textId="77777777" w:rsidR="00B311F0" w:rsidRPr="00623A8E" w:rsidRDefault="00B311F0" w:rsidP="00B311F0">
      <w:pPr>
        <w:spacing w:after="0"/>
        <w:ind w:left="-360"/>
        <w:jc w:val="center"/>
        <w:rPr>
          <w:szCs w:val="24"/>
        </w:rPr>
      </w:pPr>
      <w:r w:rsidRPr="003C1DB0">
        <w:rPr>
          <w:rFonts w:eastAsiaTheme="majorEastAsia" w:cstheme="majorBidi"/>
          <w:b/>
          <w:spacing w:val="-10"/>
          <w:kern w:val="28"/>
          <w:sz w:val="56"/>
          <w:szCs w:val="56"/>
        </w:rPr>
        <w:t>Proposed Solutions</w:t>
      </w:r>
    </w:p>
    <w:p w14:paraId="191D1C23" w14:textId="77777777" w:rsidR="00B311F0" w:rsidRDefault="00B311F0" w:rsidP="00B311F0">
      <w:pPr>
        <w:pStyle w:val="NoSpacing"/>
        <w:spacing w:line="360" w:lineRule="auto"/>
        <w:jc w:val="center"/>
        <w:rPr>
          <w:rFonts w:ascii="Verdana" w:hAnsi="Verdana" w:cs="Times New Roman"/>
          <w:b/>
          <w:sz w:val="28"/>
          <w:szCs w:val="28"/>
        </w:rPr>
      </w:pPr>
    </w:p>
    <w:p w14:paraId="0CCD2995" w14:textId="77777777" w:rsidR="00B311F0" w:rsidRPr="00193C91" w:rsidRDefault="00B311F0" w:rsidP="00B311F0">
      <w:pPr>
        <w:pStyle w:val="NoSpacing"/>
        <w:spacing w:line="360" w:lineRule="auto"/>
        <w:jc w:val="center"/>
        <w:rPr>
          <w:rFonts w:ascii="Verdana" w:hAnsi="Verdana" w:cs="Times New Roman"/>
          <w:b/>
          <w:sz w:val="28"/>
          <w:szCs w:val="28"/>
        </w:rPr>
      </w:pPr>
      <w:r w:rsidRPr="00193C91">
        <w:rPr>
          <w:rFonts w:ascii="Verdana" w:hAnsi="Verdana" w:cs="Times New Roman"/>
          <w:b/>
          <w:sz w:val="28"/>
          <w:szCs w:val="28"/>
        </w:rPr>
        <w:t>Prepared for:</w:t>
      </w:r>
    </w:p>
    <w:p w14:paraId="35C0FBD1" w14:textId="77777777" w:rsidR="00B311F0" w:rsidRPr="00193C91" w:rsidRDefault="00B311F0" w:rsidP="00B311F0">
      <w:pPr>
        <w:pStyle w:val="NoSpacing"/>
        <w:spacing w:line="360" w:lineRule="auto"/>
        <w:jc w:val="center"/>
        <w:rPr>
          <w:rFonts w:ascii="Verdana" w:hAnsi="Verdana" w:cs="Times New Roman"/>
          <w:b/>
          <w:sz w:val="28"/>
          <w:szCs w:val="28"/>
        </w:rPr>
      </w:pPr>
      <w:r w:rsidRPr="00193C91">
        <w:rPr>
          <w:rFonts w:ascii="Verdana" w:hAnsi="Verdana" w:cs="Times New Roman"/>
          <w:b/>
          <w:sz w:val="28"/>
          <w:szCs w:val="28"/>
        </w:rPr>
        <w:t>Members of the 8</w:t>
      </w:r>
      <w:r w:rsidR="006344AD">
        <w:rPr>
          <w:rFonts w:ascii="Verdana" w:hAnsi="Verdana" w:cs="Times New Roman"/>
          <w:b/>
          <w:sz w:val="28"/>
          <w:szCs w:val="28"/>
        </w:rPr>
        <w:t>6</w:t>
      </w:r>
      <w:r w:rsidRPr="00193C91">
        <w:rPr>
          <w:rFonts w:ascii="Verdana" w:hAnsi="Verdana" w:cs="Times New Roman"/>
          <w:b/>
          <w:sz w:val="28"/>
          <w:szCs w:val="28"/>
          <w:vertAlign w:val="superscript"/>
        </w:rPr>
        <w:t>th</w:t>
      </w:r>
      <w:r w:rsidRPr="00193C91">
        <w:rPr>
          <w:rFonts w:ascii="Verdana" w:hAnsi="Verdana" w:cs="Times New Roman"/>
          <w:b/>
          <w:sz w:val="28"/>
          <w:szCs w:val="28"/>
        </w:rPr>
        <w:t xml:space="preserve"> Texas Legislature</w:t>
      </w:r>
    </w:p>
    <w:p w14:paraId="47894DBA" w14:textId="77777777" w:rsidR="00B311F0" w:rsidRDefault="00B311F0" w:rsidP="00B311F0">
      <w:pPr>
        <w:pStyle w:val="NoSpacing"/>
        <w:jc w:val="center"/>
        <w:rPr>
          <w:rFonts w:cs="Times New Roman"/>
          <w:szCs w:val="24"/>
        </w:rPr>
      </w:pPr>
    </w:p>
    <w:p w14:paraId="7977B960" w14:textId="77777777" w:rsidR="00B311F0" w:rsidRDefault="00B311F0" w:rsidP="00B311F0">
      <w:pPr>
        <w:pStyle w:val="NoSpacing"/>
        <w:jc w:val="center"/>
        <w:rPr>
          <w:rFonts w:cs="Times New Roman"/>
          <w:szCs w:val="24"/>
        </w:rPr>
      </w:pPr>
    </w:p>
    <w:p w14:paraId="010F8BCB" w14:textId="77777777" w:rsidR="00B311F0" w:rsidRPr="004429B1" w:rsidRDefault="00B311F0" w:rsidP="00B311F0">
      <w:pPr>
        <w:pStyle w:val="NoSpacing"/>
        <w:jc w:val="center"/>
        <w:rPr>
          <w:rFonts w:cs="Times New Roman"/>
          <w:szCs w:val="24"/>
        </w:rPr>
      </w:pPr>
      <w:r w:rsidRPr="004429B1">
        <w:rPr>
          <w:rFonts w:cs="Times New Roman"/>
          <w:noProof/>
          <w:szCs w:val="24"/>
        </w:rPr>
        <w:drawing>
          <wp:inline distT="0" distB="0" distL="0" distR="0" wp14:anchorId="6A2590F5" wp14:editId="3E370722">
            <wp:extent cx="2026920" cy="2026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272" cy="2028272"/>
                    </a:xfrm>
                    <a:prstGeom prst="rect">
                      <a:avLst/>
                    </a:prstGeom>
                    <a:noFill/>
                    <a:ln w="9525">
                      <a:noFill/>
                      <a:miter lim="800000"/>
                      <a:headEnd/>
                      <a:tailEnd/>
                    </a:ln>
                  </pic:spPr>
                </pic:pic>
              </a:graphicData>
            </a:graphic>
          </wp:inline>
        </w:drawing>
      </w:r>
    </w:p>
    <w:p w14:paraId="4C729E39" w14:textId="77777777" w:rsidR="00B311F0" w:rsidRDefault="00B311F0" w:rsidP="00B311F0">
      <w:pPr>
        <w:pStyle w:val="NoSpacing"/>
        <w:spacing w:after="240" w:line="480" w:lineRule="auto"/>
        <w:jc w:val="center"/>
        <w:rPr>
          <w:rFonts w:cs="Times New Roman"/>
          <w:szCs w:val="24"/>
        </w:rPr>
      </w:pPr>
    </w:p>
    <w:p w14:paraId="642CC261" w14:textId="77777777" w:rsidR="00B311F0" w:rsidRPr="00193C91" w:rsidRDefault="00B311F0" w:rsidP="00B311F0">
      <w:pPr>
        <w:pStyle w:val="NoSpacing"/>
        <w:spacing w:line="360" w:lineRule="auto"/>
        <w:jc w:val="center"/>
        <w:rPr>
          <w:rFonts w:ascii="Verdana" w:hAnsi="Verdana" w:cs="Times New Roman"/>
          <w:b/>
          <w:sz w:val="28"/>
          <w:szCs w:val="28"/>
        </w:rPr>
      </w:pPr>
      <w:r w:rsidRPr="00193C91">
        <w:rPr>
          <w:rFonts w:ascii="Verdana" w:hAnsi="Verdana" w:cs="Times New Roman"/>
          <w:b/>
          <w:sz w:val="28"/>
          <w:szCs w:val="28"/>
        </w:rPr>
        <w:t>Texas Governor’s Committee on People with Disabilities</w:t>
      </w:r>
    </w:p>
    <w:p w14:paraId="2429E818" w14:textId="349E9017" w:rsidR="00B311F0" w:rsidRPr="00193C91" w:rsidRDefault="0088511F" w:rsidP="00B311F0">
      <w:pPr>
        <w:pStyle w:val="NoSpacing"/>
        <w:spacing w:line="360" w:lineRule="auto"/>
        <w:jc w:val="center"/>
        <w:rPr>
          <w:rFonts w:ascii="Verdana" w:hAnsi="Verdana"/>
          <w:sz w:val="28"/>
          <w:szCs w:val="28"/>
        </w:rPr>
        <w:sectPr w:rsidR="00B311F0" w:rsidRPr="00193C91" w:rsidSect="00B311F0">
          <w:headerReference w:type="even" r:id="rId9"/>
          <w:headerReference w:type="default" r:id="rId10"/>
          <w:footerReference w:type="even" r:id="rId11"/>
          <w:footerReference w:type="default" r:id="rId12"/>
          <w:headerReference w:type="first" r:id="rId13"/>
          <w:footerReference w:type="first" r:id="rId14"/>
          <w:footnotePr>
            <w:numStart w:val="7"/>
          </w:footnotePr>
          <w:pgSz w:w="12240" w:h="15840"/>
          <w:pgMar w:top="1440" w:right="1440" w:bottom="1440" w:left="1440" w:header="720" w:footer="720" w:gutter="0"/>
          <w:cols w:space="720"/>
          <w:docGrid w:linePitch="360"/>
        </w:sectPr>
      </w:pPr>
      <w:r>
        <w:rPr>
          <w:rFonts w:ascii="Verdana" w:hAnsi="Verdana" w:cs="Times New Roman"/>
          <w:b/>
          <w:sz w:val="28"/>
          <w:szCs w:val="28"/>
        </w:rPr>
        <w:t>March</w:t>
      </w:r>
      <w:r w:rsidR="00B311F0" w:rsidRPr="00193C91">
        <w:rPr>
          <w:rFonts w:ascii="Verdana" w:hAnsi="Verdana" w:cs="Times New Roman"/>
          <w:b/>
          <w:sz w:val="28"/>
          <w:szCs w:val="28"/>
        </w:rPr>
        <w:t>,</w:t>
      </w:r>
      <w:r>
        <w:rPr>
          <w:rFonts w:ascii="Verdana" w:hAnsi="Verdana" w:cs="Times New Roman"/>
          <w:b/>
          <w:sz w:val="28"/>
          <w:szCs w:val="28"/>
        </w:rPr>
        <w:t xml:space="preserve"> 2019</w:t>
      </w:r>
    </w:p>
    <w:p w14:paraId="76B9A6EC" w14:textId="77777777" w:rsidR="00B311F0" w:rsidRPr="00193C91" w:rsidRDefault="00B311F0" w:rsidP="00B311F0">
      <w:pPr>
        <w:jc w:val="center"/>
        <w:rPr>
          <w:rFonts w:cs="Times New Roman"/>
          <w:b/>
          <w:sz w:val="28"/>
          <w:szCs w:val="28"/>
        </w:rPr>
      </w:pPr>
      <w:r w:rsidRPr="00193C91">
        <w:rPr>
          <w:rFonts w:cs="Times New Roman"/>
          <w:b/>
          <w:sz w:val="28"/>
          <w:szCs w:val="28"/>
        </w:rPr>
        <w:lastRenderedPageBreak/>
        <w:t>The Committee on People with Disabilities</w:t>
      </w:r>
    </w:p>
    <w:p w14:paraId="4B45B381" w14:textId="77777777" w:rsidR="00B311F0" w:rsidRPr="0067665E" w:rsidRDefault="00B311F0" w:rsidP="00B311F0">
      <w:pPr>
        <w:jc w:val="center"/>
        <w:rPr>
          <w:rFonts w:ascii="Times New Roman" w:hAnsi="Times New Roman" w:cs="Times New Roman"/>
          <w:b/>
          <w:szCs w:val="24"/>
        </w:rPr>
      </w:pPr>
    </w:p>
    <w:p w14:paraId="4C043ACC" w14:textId="77777777" w:rsidR="00B311F0" w:rsidRPr="00193C91" w:rsidRDefault="00B311F0" w:rsidP="00B311F0">
      <w:pPr>
        <w:spacing w:line="276" w:lineRule="auto"/>
        <w:jc w:val="center"/>
        <w:rPr>
          <w:rFonts w:cs="Times New Roman"/>
          <w:b/>
          <w:szCs w:val="24"/>
        </w:rPr>
      </w:pPr>
      <w:r w:rsidRPr="00193C91">
        <w:rPr>
          <w:rFonts w:cs="Times New Roman"/>
          <w:b/>
          <w:szCs w:val="24"/>
        </w:rPr>
        <w:t>Members</w:t>
      </w:r>
    </w:p>
    <w:p w14:paraId="59508344" w14:textId="77777777" w:rsidR="00B311F0" w:rsidRPr="00193C91" w:rsidRDefault="00B311F0" w:rsidP="00B311F0">
      <w:pPr>
        <w:jc w:val="center"/>
        <w:rPr>
          <w:rFonts w:cs="Times New Roman"/>
          <w:szCs w:val="24"/>
        </w:rPr>
      </w:pPr>
      <w:r w:rsidRPr="00193C91">
        <w:rPr>
          <w:rFonts w:cs="Times New Roman"/>
          <w:szCs w:val="24"/>
        </w:rPr>
        <w:t xml:space="preserve">Aaron W. Bangor, Ph.D., </w:t>
      </w:r>
      <w:r w:rsidRPr="00193C91">
        <w:rPr>
          <w:rFonts w:cs="Times New Roman"/>
          <w:i/>
          <w:szCs w:val="24"/>
        </w:rPr>
        <w:t>Chair</w:t>
      </w:r>
      <w:r w:rsidRPr="00193C91">
        <w:rPr>
          <w:rFonts w:cs="Times New Roman"/>
          <w:szCs w:val="24"/>
        </w:rPr>
        <w:t>, Austin</w:t>
      </w:r>
    </w:p>
    <w:p w14:paraId="00C8BBC5" w14:textId="77777777" w:rsidR="0091663B" w:rsidRDefault="0091663B" w:rsidP="00B311F0">
      <w:pPr>
        <w:jc w:val="center"/>
        <w:rPr>
          <w:rFonts w:cs="Times New Roman"/>
          <w:szCs w:val="24"/>
        </w:rPr>
      </w:pPr>
      <w:r>
        <w:rPr>
          <w:rFonts w:cs="Times New Roman"/>
          <w:szCs w:val="24"/>
        </w:rPr>
        <w:t>Ellen M. Bauman, Joshua</w:t>
      </w:r>
    </w:p>
    <w:p w14:paraId="2FD835E8" w14:textId="77777777" w:rsidR="0091663B" w:rsidRDefault="0091663B" w:rsidP="00B311F0">
      <w:pPr>
        <w:jc w:val="center"/>
        <w:rPr>
          <w:rFonts w:cs="Times New Roman"/>
          <w:szCs w:val="24"/>
        </w:rPr>
      </w:pPr>
      <w:r>
        <w:rPr>
          <w:rFonts w:cs="Times New Roman"/>
          <w:szCs w:val="24"/>
        </w:rPr>
        <w:t>Evelyn Cano, Pharr</w:t>
      </w:r>
    </w:p>
    <w:p w14:paraId="1498C7BF" w14:textId="77777777" w:rsidR="0091663B" w:rsidRDefault="0091663B" w:rsidP="00B311F0">
      <w:pPr>
        <w:jc w:val="center"/>
        <w:rPr>
          <w:rFonts w:cs="Times New Roman"/>
          <w:szCs w:val="24"/>
        </w:rPr>
      </w:pPr>
      <w:r>
        <w:rPr>
          <w:rFonts w:cs="Times New Roman"/>
          <w:szCs w:val="24"/>
        </w:rPr>
        <w:t>Andrew Cohen, Round Rock</w:t>
      </w:r>
    </w:p>
    <w:p w14:paraId="4433ADC9" w14:textId="77777777" w:rsidR="00B311F0" w:rsidRPr="00193C91" w:rsidRDefault="00B311F0" w:rsidP="00B311F0">
      <w:pPr>
        <w:jc w:val="center"/>
        <w:rPr>
          <w:rFonts w:cs="Times New Roman"/>
          <w:szCs w:val="24"/>
        </w:rPr>
      </w:pPr>
      <w:r w:rsidRPr="00193C91">
        <w:rPr>
          <w:rFonts w:cs="Times New Roman"/>
          <w:szCs w:val="24"/>
        </w:rPr>
        <w:t>Elizabeth M. Dickey, Austin</w:t>
      </w:r>
    </w:p>
    <w:p w14:paraId="0D9ECD7B" w14:textId="77777777" w:rsidR="00B311F0" w:rsidRPr="00193C91" w:rsidRDefault="00B311F0" w:rsidP="00B311F0">
      <w:pPr>
        <w:jc w:val="center"/>
        <w:rPr>
          <w:rFonts w:cs="Times New Roman"/>
          <w:szCs w:val="24"/>
        </w:rPr>
      </w:pPr>
      <w:r w:rsidRPr="00193C91">
        <w:rPr>
          <w:rFonts w:cs="Times New Roman"/>
          <w:szCs w:val="24"/>
        </w:rPr>
        <w:t>Archer S. Hadley, Austin</w:t>
      </w:r>
    </w:p>
    <w:p w14:paraId="203D8E33" w14:textId="77777777" w:rsidR="00B311F0" w:rsidRPr="00193C91" w:rsidRDefault="00B311F0" w:rsidP="00B311F0">
      <w:pPr>
        <w:ind w:left="2160" w:firstLine="720"/>
        <w:rPr>
          <w:rFonts w:cs="Times New Roman"/>
          <w:szCs w:val="24"/>
        </w:rPr>
      </w:pPr>
      <w:r w:rsidRPr="00193C91">
        <w:rPr>
          <w:rFonts w:cs="Times New Roman"/>
          <w:szCs w:val="24"/>
        </w:rPr>
        <w:t>Richard Martinez, San Antonio</w:t>
      </w:r>
    </w:p>
    <w:p w14:paraId="7484FBF0" w14:textId="77777777" w:rsidR="00B311F0" w:rsidRPr="00193C91" w:rsidRDefault="00B311F0" w:rsidP="00B311F0">
      <w:pPr>
        <w:jc w:val="center"/>
        <w:rPr>
          <w:rFonts w:cs="Times New Roman"/>
          <w:szCs w:val="24"/>
        </w:rPr>
      </w:pPr>
      <w:r w:rsidRPr="00193C91">
        <w:rPr>
          <w:rFonts w:cs="Times New Roman"/>
          <w:szCs w:val="24"/>
        </w:rPr>
        <w:t>Linda Millstone, Austin</w:t>
      </w:r>
    </w:p>
    <w:p w14:paraId="2CC215FB" w14:textId="77777777" w:rsidR="00B311F0" w:rsidRDefault="00B311F0" w:rsidP="00B311F0">
      <w:pPr>
        <w:jc w:val="center"/>
        <w:rPr>
          <w:rFonts w:cs="Times New Roman"/>
          <w:szCs w:val="24"/>
        </w:rPr>
      </w:pPr>
      <w:r w:rsidRPr="00193C91">
        <w:rPr>
          <w:rFonts w:cs="Times New Roman"/>
          <w:szCs w:val="24"/>
        </w:rPr>
        <w:t>Dylan Rafaty, Plano</w:t>
      </w:r>
    </w:p>
    <w:p w14:paraId="2CD21853" w14:textId="77777777" w:rsidR="0091663B" w:rsidRDefault="0091663B" w:rsidP="00B311F0">
      <w:pPr>
        <w:jc w:val="center"/>
        <w:rPr>
          <w:rFonts w:cs="Times New Roman"/>
          <w:szCs w:val="24"/>
        </w:rPr>
      </w:pPr>
      <w:r>
        <w:rPr>
          <w:rFonts w:cs="Times New Roman"/>
          <w:szCs w:val="24"/>
        </w:rPr>
        <w:t xml:space="preserve">Emma Faye Rudkin, San Antonio </w:t>
      </w:r>
    </w:p>
    <w:p w14:paraId="12FBEF56" w14:textId="77777777" w:rsidR="0091663B" w:rsidRPr="00193C91" w:rsidRDefault="0091663B" w:rsidP="00B311F0">
      <w:pPr>
        <w:jc w:val="center"/>
        <w:rPr>
          <w:rFonts w:cs="Times New Roman"/>
          <w:szCs w:val="24"/>
        </w:rPr>
      </w:pPr>
      <w:r>
        <w:rPr>
          <w:rFonts w:cs="Times New Roman"/>
          <w:szCs w:val="24"/>
        </w:rPr>
        <w:t>Amy Scott, Austin</w:t>
      </w:r>
    </w:p>
    <w:p w14:paraId="66197F25" w14:textId="77777777" w:rsidR="00B311F0" w:rsidRPr="00193C91" w:rsidRDefault="00B311F0" w:rsidP="00B311F0">
      <w:pPr>
        <w:jc w:val="center"/>
        <w:rPr>
          <w:rFonts w:cs="Times New Roman"/>
          <w:szCs w:val="24"/>
        </w:rPr>
      </w:pPr>
      <w:r w:rsidRPr="00193C91">
        <w:rPr>
          <w:rFonts w:cs="Times New Roman"/>
          <w:szCs w:val="24"/>
        </w:rPr>
        <w:t>Marco Treviño, Edinburg</w:t>
      </w:r>
    </w:p>
    <w:p w14:paraId="7B2FA486" w14:textId="77777777" w:rsidR="00B311F0" w:rsidRDefault="00B311F0" w:rsidP="00B311F0">
      <w:pPr>
        <w:spacing w:line="480" w:lineRule="auto"/>
        <w:jc w:val="center"/>
        <w:rPr>
          <w:rFonts w:ascii="Times New Roman" w:hAnsi="Times New Roman" w:cs="Times New Roman"/>
          <w:szCs w:val="24"/>
        </w:rPr>
      </w:pPr>
    </w:p>
    <w:p w14:paraId="6DC7B312" w14:textId="77777777" w:rsidR="00B311F0" w:rsidRPr="00193C91" w:rsidRDefault="00B311F0" w:rsidP="00B311F0">
      <w:pPr>
        <w:spacing w:line="276" w:lineRule="auto"/>
        <w:jc w:val="center"/>
        <w:rPr>
          <w:rFonts w:cs="Times New Roman"/>
          <w:b/>
          <w:szCs w:val="24"/>
        </w:rPr>
      </w:pPr>
      <w:r w:rsidRPr="00193C91">
        <w:rPr>
          <w:rFonts w:cs="Times New Roman"/>
          <w:b/>
          <w:szCs w:val="24"/>
        </w:rPr>
        <w:t>Staff</w:t>
      </w:r>
    </w:p>
    <w:p w14:paraId="212DA643" w14:textId="77777777" w:rsidR="00B311F0" w:rsidRPr="00193C91" w:rsidRDefault="00B311F0" w:rsidP="00B311F0">
      <w:pPr>
        <w:jc w:val="center"/>
        <w:rPr>
          <w:rFonts w:cs="Times New Roman"/>
          <w:szCs w:val="24"/>
        </w:rPr>
      </w:pPr>
      <w:r w:rsidRPr="00193C91">
        <w:rPr>
          <w:rFonts w:cs="Times New Roman"/>
          <w:szCs w:val="24"/>
        </w:rPr>
        <w:t>Ron Lucey, Executive Director</w:t>
      </w:r>
    </w:p>
    <w:p w14:paraId="6F502164" w14:textId="77777777" w:rsidR="00B311F0" w:rsidRPr="00193C91" w:rsidRDefault="00B311F0" w:rsidP="00B311F0">
      <w:pPr>
        <w:jc w:val="center"/>
        <w:rPr>
          <w:rFonts w:cs="Times New Roman"/>
          <w:szCs w:val="24"/>
        </w:rPr>
      </w:pPr>
      <w:r w:rsidRPr="00193C91">
        <w:rPr>
          <w:rFonts w:cs="Times New Roman"/>
          <w:szCs w:val="24"/>
        </w:rPr>
        <w:t>Randi Turner, Accessibility and Disability Rights Coordinator</w:t>
      </w:r>
    </w:p>
    <w:p w14:paraId="701DFD59" w14:textId="77777777" w:rsidR="00B311F0" w:rsidRPr="00193C91" w:rsidRDefault="00B311F0" w:rsidP="00B311F0">
      <w:pPr>
        <w:jc w:val="center"/>
        <w:rPr>
          <w:rFonts w:cs="Times New Roman"/>
          <w:szCs w:val="24"/>
        </w:rPr>
      </w:pPr>
      <w:r w:rsidRPr="00193C91">
        <w:rPr>
          <w:rFonts w:cs="Times New Roman"/>
          <w:szCs w:val="24"/>
        </w:rPr>
        <w:t>Fran Robertson, Research Specialist</w:t>
      </w:r>
    </w:p>
    <w:p w14:paraId="498D41A2" w14:textId="77777777" w:rsidR="00B311F0" w:rsidRDefault="00B311F0" w:rsidP="00B311F0">
      <w:pPr>
        <w:jc w:val="center"/>
      </w:pPr>
      <w:r w:rsidRPr="00193C91">
        <w:rPr>
          <w:rFonts w:cs="Times New Roman"/>
          <w:szCs w:val="24"/>
        </w:rPr>
        <w:t>Nancy Van Loan, Executive Assistant</w:t>
      </w:r>
    </w:p>
    <w:sdt>
      <w:sdtPr>
        <w:rPr>
          <w:rFonts w:ascii="Verdana" w:eastAsiaTheme="minorHAnsi" w:hAnsi="Verdana" w:cstheme="minorBidi"/>
          <w:color w:val="auto"/>
          <w:sz w:val="24"/>
          <w:szCs w:val="22"/>
        </w:rPr>
        <w:id w:val="1324009747"/>
        <w:docPartObj>
          <w:docPartGallery w:val="Table of Contents"/>
          <w:docPartUnique/>
        </w:docPartObj>
      </w:sdtPr>
      <w:sdtEndPr>
        <w:rPr>
          <w:b/>
          <w:bCs/>
          <w:noProof/>
        </w:rPr>
      </w:sdtEndPr>
      <w:sdtContent>
        <w:p w14:paraId="4B1BB8E5" w14:textId="77777777" w:rsidR="00B311F0" w:rsidRDefault="00B311F0">
          <w:pPr>
            <w:pStyle w:val="TOCHeading"/>
            <w:rPr>
              <w:rFonts w:ascii="Verdana" w:eastAsiaTheme="minorHAnsi" w:hAnsi="Verdana" w:cstheme="minorBidi"/>
              <w:color w:val="auto"/>
              <w:sz w:val="24"/>
              <w:szCs w:val="22"/>
            </w:rPr>
          </w:pPr>
        </w:p>
        <w:p w14:paraId="01910941" w14:textId="77777777" w:rsidR="00B311F0" w:rsidRDefault="00B311F0">
          <w:r>
            <w:br w:type="page"/>
          </w:r>
        </w:p>
        <w:p w14:paraId="341CB0D8" w14:textId="77777777" w:rsidR="002F54DC" w:rsidRDefault="002F54DC">
          <w:pPr>
            <w:pStyle w:val="TOCHeading"/>
          </w:pPr>
          <w:r>
            <w:lastRenderedPageBreak/>
            <w:t>Content</w:t>
          </w:r>
          <w:bookmarkStart w:id="0" w:name="_GoBack"/>
          <w:bookmarkEnd w:id="0"/>
          <w:r>
            <w:t>s</w:t>
          </w:r>
        </w:p>
        <w:p w14:paraId="0D052C8C" w14:textId="4C5BB7E0" w:rsidR="00C241B6" w:rsidRDefault="002F54DC">
          <w:pPr>
            <w:pStyle w:val="TOC1"/>
            <w:tabs>
              <w:tab w:val="right" w:leader="dot" w:pos="998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4505510" w:history="1">
            <w:r w:rsidR="00C241B6" w:rsidRPr="008E1065">
              <w:rPr>
                <w:rStyle w:val="Hyperlink"/>
                <w:noProof/>
              </w:rPr>
              <w:t>INTRODUCTION</w:t>
            </w:r>
            <w:r w:rsidR="00C241B6">
              <w:rPr>
                <w:noProof/>
                <w:webHidden/>
              </w:rPr>
              <w:tab/>
            </w:r>
            <w:r w:rsidR="00C241B6">
              <w:rPr>
                <w:noProof/>
                <w:webHidden/>
              </w:rPr>
              <w:fldChar w:fldCharType="begin"/>
            </w:r>
            <w:r w:rsidR="00C241B6">
              <w:rPr>
                <w:noProof/>
                <w:webHidden/>
              </w:rPr>
              <w:instrText xml:space="preserve"> PAGEREF _Toc4505510 \h </w:instrText>
            </w:r>
            <w:r w:rsidR="00C241B6">
              <w:rPr>
                <w:noProof/>
                <w:webHidden/>
              </w:rPr>
            </w:r>
            <w:r w:rsidR="00C241B6">
              <w:rPr>
                <w:noProof/>
                <w:webHidden/>
              </w:rPr>
              <w:fldChar w:fldCharType="separate"/>
            </w:r>
            <w:r w:rsidR="00C241B6">
              <w:rPr>
                <w:noProof/>
                <w:webHidden/>
              </w:rPr>
              <w:t>4</w:t>
            </w:r>
            <w:r w:rsidR="00C241B6">
              <w:rPr>
                <w:noProof/>
                <w:webHidden/>
              </w:rPr>
              <w:fldChar w:fldCharType="end"/>
            </w:r>
          </w:hyperlink>
        </w:p>
        <w:p w14:paraId="1A8AB594" w14:textId="28BD7BAC" w:rsidR="00C241B6" w:rsidRDefault="00C241B6">
          <w:pPr>
            <w:pStyle w:val="TOC1"/>
            <w:tabs>
              <w:tab w:val="right" w:leader="dot" w:pos="9980"/>
            </w:tabs>
            <w:rPr>
              <w:rFonts w:asciiTheme="minorHAnsi" w:eastAsiaTheme="minorEastAsia" w:hAnsiTheme="minorHAnsi"/>
              <w:noProof/>
              <w:sz w:val="22"/>
            </w:rPr>
          </w:pPr>
          <w:hyperlink w:anchor="_Toc4505511" w:history="1">
            <w:r w:rsidRPr="008E1065">
              <w:rPr>
                <w:rStyle w:val="Hyperlink"/>
                <w:noProof/>
              </w:rPr>
              <w:t>Difference Between Service and Assistance Animals</w:t>
            </w:r>
            <w:r>
              <w:rPr>
                <w:noProof/>
                <w:webHidden/>
              </w:rPr>
              <w:tab/>
            </w:r>
            <w:r>
              <w:rPr>
                <w:noProof/>
                <w:webHidden/>
              </w:rPr>
              <w:fldChar w:fldCharType="begin"/>
            </w:r>
            <w:r>
              <w:rPr>
                <w:noProof/>
                <w:webHidden/>
              </w:rPr>
              <w:instrText xml:space="preserve"> PAGEREF _Toc4505511 \h </w:instrText>
            </w:r>
            <w:r>
              <w:rPr>
                <w:noProof/>
                <w:webHidden/>
              </w:rPr>
            </w:r>
            <w:r>
              <w:rPr>
                <w:noProof/>
                <w:webHidden/>
              </w:rPr>
              <w:fldChar w:fldCharType="separate"/>
            </w:r>
            <w:r>
              <w:rPr>
                <w:noProof/>
                <w:webHidden/>
              </w:rPr>
              <w:t>5</w:t>
            </w:r>
            <w:r>
              <w:rPr>
                <w:noProof/>
                <w:webHidden/>
              </w:rPr>
              <w:fldChar w:fldCharType="end"/>
            </w:r>
          </w:hyperlink>
        </w:p>
        <w:p w14:paraId="5664A384" w14:textId="3B4AFC52" w:rsidR="00C241B6" w:rsidRDefault="00C241B6">
          <w:pPr>
            <w:pStyle w:val="TOC1"/>
            <w:tabs>
              <w:tab w:val="right" w:leader="dot" w:pos="9980"/>
            </w:tabs>
            <w:rPr>
              <w:rFonts w:asciiTheme="minorHAnsi" w:eastAsiaTheme="minorEastAsia" w:hAnsiTheme="minorHAnsi"/>
              <w:noProof/>
              <w:sz w:val="22"/>
            </w:rPr>
          </w:pPr>
          <w:hyperlink w:anchor="_Toc4505512" w:history="1">
            <w:r w:rsidRPr="008E1065">
              <w:rPr>
                <w:rStyle w:val="Hyperlink"/>
                <w:noProof/>
              </w:rPr>
              <w:t>Service Animal Laws</w:t>
            </w:r>
            <w:r>
              <w:rPr>
                <w:noProof/>
                <w:webHidden/>
              </w:rPr>
              <w:tab/>
            </w:r>
            <w:r>
              <w:rPr>
                <w:noProof/>
                <w:webHidden/>
              </w:rPr>
              <w:fldChar w:fldCharType="begin"/>
            </w:r>
            <w:r>
              <w:rPr>
                <w:noProof/>
                <w:webHidden/>
              </w:rPr>
              <w:instrText xml:space="preserve"> PAGEREF _Toc4505512 \h </w:instrText>
            </w:r>
            <w:r>
              <w:rPr>
                <w:noProof/>
                <w:webHidden/>
              </w:rPr>
            </w:r>
            <w:r>
              <w:rPr>
                <w:noProof/>
                <w:webHidden/>
              </w:rPr>
              <w:fldChar w:fldCharType="separate"/>
            </w:r>
            <w:r>
              <w:rPr>
                <w:noProof/>
                <w:webHidden/>
              </w:rPr>
              <w:t>6</w:t>
            </w:r>
            <w:r>
              <w:rPr>
                <w:noProof/>
                <w:webHidden/>
              </w:rPr>
              <w:fldChar w:fldCharType="end"/>
            </w:r>
          </w:hyperlink>
        </w:p>
        <w:p w14:paraId="6DE1D3FF" w14:textId="2DF16BAE" w:rsidR="00C241B6" w:rsidRDefault="00C241B6">
          <w:pPr>
            <w:pStyle w:val="TOC2"/>
            <w:tabs>
              <w:tab w:val="right" w:leader="dot" w:pos="9980"/>
            </w:tabs>
            <w:rPr>
              <w:rFonts w:asciiTheme="minorHAnsi" w:eastAsiaTheme="minorEastAsia" w:hAnsiTheme="minorHAnsi"/>
              <w:noProof/>
              <w:sz w:val="22"/>
            </w:rPr>
          </w:pPr>
          <w:hyperlink w:anchor="_Toc4505513" w:history="1">
            <w:r w:rsidRPr="008E1065">
              <w:rPr>
                <w:rStyle w:val="Hyperlink"/>
                <w:rFonts w:eastAsia="Times New Roman" w:cs="Times New Roman"/>
                <w:b/>
                <w:bCs/>
                <w:noProof/>
              </w:rPr>
              <w:t>Federal Law</w:t>
            </w:r>
            <w:r>
              <w:rPr>
                <w:noProof/>
                <w:webHidden/>
              </w:rPr>
              <w:tab/>
            </w:r>
            <w:r>
              <w:rPr>
                <w:noProof/>
                <w:webHidden/>
              </w:rPr>
              <w:fldChar w:fldCharType="begin"/>
            </w:r>
            <w:r>
              <w:rPr>
                <w:noProof/>
                <w:webHidden/>
              </w:rPr>
              <w:instrText xml:space="preserve"> PAGEREF _Toc4505513 \h </w:instrText>
            </w:r>
            <w:r>
              <w:rPr>
                <w:noProof/>
                <w:webHidden/>
              </w:rPr>
            </w:r>
            <w:r>
              <w:rPr>
                <w:noProof/>
                <w:webHidden/>
              </w:rPr>
              <w:fldChar w:fldCharType="separate"/>
            </w:r>
            <w:r>
              <w:rPr>
                <w:noProof/>
                <w:webHidden/>
              </w:rPr>
              <w:t>6</w:t>
            </w:r>
            <w:r>
              <w:rPr>
                <w:noProof/>
                <w:webHidden/>
              </w:rPr>
              <w:fldChar w:fldCharType="end"/>
            </w:r>
          </w:hyperlink>
        </w:p>
        <w:p w14:paraId="0B8EBDB3" w14:textId="64EE917C" w:rsidR="00C241B6" w:rsidRDefault="00C241B6">
          <w:pPr>
            <w:pStyle w:val="TOC2"/>
            <w:tabs>
              <w:tab w:val="right" w:leader="dot" w:pos="9980"/>
            </w:tabs>
            <w:rPr>
              <w:rFonts w:asciiTheme="minorHAnsi" w:eastAsiaTheme="minorEastAsia" w:hAnsiTheme="minorHAnsi"/>
              <w:noProof/>
              <w:sz w:val="22"/>
            </w:rPr>
          </w:pPr>
          <w:hyperlink w:anchor="_Toc4505514" w:history="1">
            <w:r w:rsidRPr="008E1065">
              <w:rPr>
                <w:rStyle w:val="Hyperlink"/>
                <w:noProof/>
              </w:rPr>
              <w:t>States may not establish laws regarding service animals or assistance animals that contradict federal law. The following sections describe federal laws regarding service and/or assistance animals:</w:t>
            </w:r>
            <w:r>
              <w:rPr>
                <w:noProof/>
                <w:webHidden/>
              </w:rPr>
              <w:tab/>
            </w:r>
            <w:r>
              <w:rPr>
                <w:noProof/>
                <w:webHidden/>
              </w:rPr>
              <w:fldChar w:fldCharType="begin"/>
            </w:r>
            <w:r>
              <w:rPr>
                <w:noProof/>
                <w:webHidden/>
              </w:rPr>
              <w:instrText xml:space="preserve"> PAGEREF _Toc4505514 \h </w:instrText>
            </w:r>
            <w:r>
              <w:rPr>
                <w:noProof/>
                <w:webHidden/>
              </w:rPr>
            </w:r>
            <w:r>
              <w:rPr>
                <w:noProof/>
                <w:webHidden/>
              </w:rPr>
              <w:fldChar w:fldCharType="separate"/>
            </w:r>
            <w:r>
              <w:rPr>
                <w:noProof/>
                <w:webHidden/>
              </w:rPr>
              <w:t>6</w:t>
            </w:r>
            <w:r>
              <w:rPr>
                <w:noProof/>
                <w:webHidden/>
              </w:rPr>
              <w:fldChar w:fldCharType="end"/>
            </w:r>
          </w:hyperlink>
        </w:p>
        <w:p w14:paraId="7E102A68" w14:textId="618BADCF" w:rsidR="00C241B6" w:rsidRDefault="00C241B6">
          <w:pPr>
            <w:pStyle w:val="TOC2"/>
            <w:tabs>
              <w:tab w:val="right" w:leader="dot" w:pos="9980"/>
            </w:tabs>
            <w:rPr>
              <w:rFonts w:asciiTheme="minorHAnsi" w:eastAsiaTheme="minorEastAsia" w:hAnsiTheme="minorHAnsi"/>
              <w:noProof/>
              <w:sz w:val="22"/>
            </w:rPr>
          </w:pPr>
          <w:hyperlink w:anchor="_Toc4505515" w:history="1">
            <w:r w:rsidRPr="008E1065">
              <w:rPr>
                <w:rStyle w:val="Hyperlink"/>
                <w:rFonts w:eastAsia="Times New Roman" w:cs="Times New Roman"/>
                <w:bCs/>
                <w:noProof/>
              </w:rPr>
              <w:t>Americans with Disabilities Act (ADA) Title I</w:t>
            </w:r>
            <w:r>
              <w:rPr>
                <w:noProof/>
                <w:webHidden/>
              </w:rPr>
              <w:tab/>
            </w:r>
            <w:r>
              <w:rPr>
                <w:noProof/>
                <w:webHidden/>
              </w:rPr>
              <w:fldChar w:fldCharType="begin"/>
            </w:r>
            <w:r>
              <w:rPr>
                <w:noProof/>
                <w:webHidden/>
              </w:rPr>
              <w:instrText xml:space="preserve"> PAGEREF _Toc4505515 \h </w:instrText>
            </w:r>
            <w:r>
              <w:rPr>
                <w:noProof/>
                <w:webHidden/>
              </w:rPr>
            </w:r>
            <w:r>
              <w:rPr>
                <w:noProof/>
                <w:webHidden/>
              </w:rPr>
              <w:fldChar w:fldCharType="separate"/>
            </w:r>
            <w:r>
              <w:rPr>
                <w:noProof/>
                <w:webHidden/>
              </w:rPr>
              <w:t>6</w:t>
            </w:r>
            <w:r>
              <w:rPr>
                <w:noProof/>
                <w:webHidden/>
              </w:rPr>
              <w:fldChar w:fldCharType="end"/>
            </w:r>
          </w:hyperlink>
        </w:p>
        <w:p w14:paraId="4D37C254" w14:textId="5B334C90" w:rsidR="00C241B6" w:rsidRDefault="00C241B6">
          <w:pPr>
            <w:pStyle w:val="TOC2"/>
            <w:tabs>
              <w:tab w:val="right" w:leader="dot" w:pos="9980"/>
            </w:tabs>
            <w:rPr>
              <w:rFonts w:asciiTheme="minorHAnsi" w:eastAsiaTheme="minorEastAsia" w:hAnsiTheme="minorHAnsi"/>
              <w:noProof/>
              <w:sz w:val="22"/>
            </w:rPr>
          </w:pPr>
          <w:hyperlink w:anchor="_Toc4505516" w:history="1">
            <w:r w:rsidRPr="008E1065">
              <w:rPr>
                <w:rStyle w:val="Hyperlink"/>
                <w:rFonts w:eastAsia="Times New Roman" w:cs="Times New Roman"/>
                <w:bCs/>
                <w:noProof/>
              </w:rPr>
              <w:t>ADA Titles II and III</w:t>
            </w:r>
            <w:r>
              <w:rPr>
                <w:noProof/>
                <w:webHidden/>
              </w:rPr>
              <w:tab/>
            </w:r>
            <w:r>
              <w:rPr>
                <w:noProof/>
                <w:webHidden/>
              </w:rPr>
              <w:fldChar w:fldCharType="begin"/>
            </w:r>
            <w:r>
              <w:rPr>
                <w:noProof/>
                <w:webHidden/>
              </w:rPr>
              <w:instrText xml:space="preserve"> PAGEREF _Toc4505516 \h </w:instrText>
            </w:r>
            <w:r>
              <w:rPr>
                <w:noProof/>
                <w:webHidden/>
              </w:rPr>
            </w:r>
            <w:r>
              <w:rPr>
                <w:noProof/>
                <w:webHidden/>
              </w:rPr>
              <w:fldChar w:fldCharType="separate"/>
            </w:r>
            <w:r>
              <w:rPr>
                <w:noProof/>
                <w:webHidden/>
              </w:rPr>
              <w:t>7</w:t>
            </w:r>
            <w:r>
              <w:rPr>
                <w:noProof/>
                <w:webHidden/>
              </w:rPr>
              <w:fldChar w:fldCharType="end"/>
            </w:r>
          </w:hyperlink>
        </w:p>
        <w:p w14:paraId="6F26F5BE" w14:textId="26DBA840" w:rsidR="00C241B6" w:rsidRDefault="00C241B6">
          <w:pPr>
            <w:pStyle w:val="TOC2"/>
            <w:tabs>
              <w:tab w:val="right" w:leader="dot" w:pos="9980"/>
            </w:tabs>
            <w:rPr>
              <w:rFonts w:asciiTheme="minorHAnsi" w:eastAsiaTheme="minorEastAsia" w:hAnsiTheme="minorHAnsi"/>
              <w:noProof/>
              <w:sz w:val="22"/>
            </w:rPr>
          </w:pPr>
          <w:hyperlink w:anchor="_Toc4505517" w:history="1">
            <w:r w:rsidRPr="008E1065">
              <w:rPr>
                <w:rStyle w:val="Hyperlink"/>
                <w:rFonts w:eastAsia="Times New Roman" w:cs="Times New Roman"/>
                <w:bCs/>
                <w:noProof/>
              </w:rPr>
              <w:t>Fair Housing Act (FHA)</w:t>
            </w:r>
            <w:r>
              <w:rPr>
                <w:noProof/>
                <w:webHidden/>
              </w:rPr>
              <w:tab/>
            </w:r>
            <w:r>
              <w:rPr>
                <w:noProof/>
                <w:webHidden/>
              </w:rPr>
              <w:fldChar w:fldCharType="begin"/>
            </w:r>
            <w:r>
              <w:rPr>
                <w:noProof/>
                <w:webHidden/>
              </w:rPr>
              <w:instrText xml:space="preserve"> PAGEREF _Toc4505517 \h </w:instrText>
            </w:r>
            <w:r>
              <w:rPr>
                <w:noProof/>
                <w:webHidden/>
              </w:rPr>
            </w:r>
            <w:r>
              <w:rPr>
                <w:noProof/>
                <w:webHidden/>
              </w:rPr>
              <w:fldChar w:fldCharType="separate"/>
            </w:r>
            <w:r>
              <w:rPr>
                <w:noProof/>
                <w:webHidden/>
              </w:rPr>
              <w:t>8</w:t>
            </w:r>
            <w:r>
              <w:rPr>
                <w:noProof/>
                <w:webHidden/>
              </w:rPr>
              <w:fldChar w:fldCharType="end"/>
            </w:r>
          </w:hyperlink>
        </w:p>
        <w:p w14:paraId="44AE6313" w14:textId="4F543D60" w:rsidR="00C241B6" w:rsidRDefault="00C241B6">
          <w:pPr>
            <w:pStyle w:val="TOC2"/>
            <w:tabs>
              <w:tab w:val="right" w:leader="dot" w:pos="9980"/>
            </w:tabs>
            <w:rPr>
              <w:rFonts w:asciiTheme="minorHAnsi" w:eastAsiaTheme="minorEastAsia" w:hAnsiTheme="minorHAnsi"/>
              <w:noProof/>
              <w:sz w:val="22"/>
            </w:rPr>
          </w:pPr>
          <w:hyperlink w:anchor="_Toc4505518" w:history="1">
            <w:r w:rsidRPr="008E1065">
              <w:rPr>
                <w:rStyle w:val="Hyperlink"/>
                <w:rFonts w:eastAsia="Times New Roman" w:cs="Times New Roman"/>
                <w:bCs/>
                <w:noProof/>
              </w:rPr>
              <w:t xml:space="preserve">Air Carriers Access Act </w:t>
            </w:r>
            <w:r w:rsidRPr="008E1065">
              <w:rPr>
                <w:rStyle w:val="Hyperlink"/>
                <w:rFonts w:eastAsia="Times New Roman" w:cs="Times New Roman"/>
                <w:bCs/>
                <w:noProof/>
                <w:shd w:val="clear" w:color="auto" w:fill="FFFFFF"/>
              </w:rPr>
              <w:t>(ACAA)</w:t>
            </w:r>
            <w:r>
              <w:rPr>
                <w:noProof/>
                <w:webHidden/>
              </w:rPr>
              <w:tab/>
            </w:r>
            <w:r>
              <w:rPr>
                <w:noProof/>
                <w:webHidden/>
              </w:rPr>
              <w:fldChar w:fldCharType="begin"/>
            </w:r>
            <w:r>
              <w:rPr>
                <w:noProof/>
                <w:webHidden/>
              </w:rPr>
              <w:instrText xml:space="preserve"> PAGEREF _Toc4505518 \h </w:instrText>
            </w:r>
            <w:r>
              <w:rPr>
                <w:noProof/>
                <w:webHidden/>
              </w:rPr>
            </w:r>
            <w:r>
              <w:rPr>
                <w:noProof/>
                <w:webHidden/>
              </w:rPr>
              <w:fldChar w:fldCharType="separate"/>
            </w:r>
            <w:r>
              <w:rPr>
                <w:noProof/>
                <w:webHidden/>
              </w:rPr>
              <w:t>9</w:t>
            </w:r>
            <w:r>
              <w:rPr>
                <w:noProof/>
                <w:webHidden/>
              </w:rPr>
              <w:fldChar w:fldCharType="end"/>
            </w:r>
          </w:hyperlink>
        </w:p>
        <w:p w14:paraId="711B9CDA" w14:textId="00EF748D" w:rsidR="00C241B6" w:rsidRDefault="00C241B6">
          <w:pPr>
            <w:pStyle w:val="TOC2"/>
            <w:tabs>
              <w:tab w:val="right" w:leader="dot" w:pos="9980"/>
            </w:tabs>
            <w:rPr>
              <w:rFonts w:asciiTheme="minorHAnsi" w:eastAsiaTheme="minorEastAsia" w:hAnsiTheme="minorHAnsi"/>
              <w:noProof/>
              <w:sz w:val="22"/>
            </w:rPr>
          </w:pPr>
          <w:hyperlink w:anchor="_Toc4505519" w:history="1">
            <w:r w:rsidRPr="008E1065">
              <w:rPr>
                <w:rStyle w:val="Hyperlink"/>
                <w:rFonts w:eastAsia="Times New Roman" w:cs="Times New Roman"/>
                <w:b/>
                <w:bCs/>
                <w:noProof/>
              </w:rPr>
              <w:t>Texas Law</w:t>
            </w:r>
            <w:r>
              <w:rPr>
                <w:noProof/>
                <w:webHidden/>
              </w:rPr>
              <w:tab/>
            </w:r>
            <w:r>
              <w:rPr>
                <w:noProof/>
                <w:webHidden/>
              </w:rPr>
              <w:fldChar w:fldCharType="begin"/>
            </w:r>
            <w:r>
              <w:rPr>
                <w:noProof/>
                <w:webHidden/>
              </w:rPr>
              <w:instrText xml:space="preserve"> PAGEREF _Toc4505519 \h </w:instrText>
            </w:r>
            <w:r>
              <w:rPr>
                <w:noProof/>
                <w:webHidden/>
              </w:rPr>
            </w:r>
            <w:r>
              <w:rPr>
                <w:noProof/>
                <w:webHidden/>
              </w:rPr>
              <w:fldChar w:fldCharType="separate"/>
            </w:r>
            <w:r>
              <w:rPr>
                <w:noProof/>
                <w:webHidden/>
              </w:rPr>
              <w:t>10</w:t>
            </w:r>
            <w:r>
              <w:rPr>
                <w:noProof/>
                <w:webHidden/>
              </w:rPr>
              <w:fldChar w:fldCharType="end"/>
            </w:r>
          </w:hyperlink>
        </w:p>
        <w:p w14:paraId="4B5D45F0" w14:textId="0EB94D88" w:rsidR="00C241B6" w:rsidRDefault="00C241B6">
          <w:pPr>
            <w:pStyle w:val="TOC1"/>
            <w:tabs>
              <w:tab w:val="right" w:leader="dot" w:pos="9980"/>
            </w:tabs>
            <w:rPr>
              <w:rFonts w:asciiTheme="minorHAnsi" w:eastAsiaTheme="minorEastAsia" w:hAnsiTheme="minorHAnsi"/>
              <w:noProof/>
              <w:sz w:val="22"/>
            </w:rPr>
          </w:pPr>
          <w:hyperlink w:anchor="_Toc4505520" w:history="1">
            <w:r w:rsidRPr="008E1065">
              <w:rPr>
                <w:rStyle w:val="Hyperlink"/>
                <w:noProof/>
              </w:rPr>
              <w:t>Resources</w:t>
            </w:r>
            <w:r>
              <w:rPr>
                <w:noProof/>
                <w:webHidden/>
              </w:rPr>
              <w:tab/>
            </w:r>
            <w:r>
              <w:rPr>
                <w:noProof/>
                <w:webHidden/>
              </w:rPr>
              <w:fldChar w:fldCharType="begin"/>
            </w:r>
            <w:r>
              <w:rPr>
                <w:noProof/>
                <w:webHidden/>
              </w:rPr>
              <w:instrText xml:space="preserve"> PAGEREF _Toc4505520 \h </w:instrText>
            </w:r>
            <w:r>
              <w:rPr>
                <w:noProof/>
                <w:webHidden/>
              </w:rPr>
            </w:r>
            <w:r>
              <w:rPr>
                <w:noProof/>
                <w:webHidden/>
              </w:rPr>
              <w:fldChar w:fldCharType="separate"/>
            </w:r>
            <w:r>
              <w:rPr>
                <w:noProof/>
                <w:webHidden/>
              </w:rPr>
              <w:t>13</w:t>
            </w:r>
            <w:r>
              <w:rPr>
                <w:noProof/>
                <w:webHidden/>
              </w:rPr>
              <w:fldChar w:fldCharType="end"/>
            </w:r>
          </w:hyperlink>
        </w:p>
        <w:p w14:paraId="5450F402" w14:textId="63359A2F" w:rsidR="00C241B6" w:rsidRDefault="00C241B6">
          <w:pPr>
            <w:pStyle w:val="TOC1"/>
            <w:tabs>
              <w:tab w:val="right" w:leader="dot" w:pos="9980"/>
            </w:tabs>
            <w:rPr>
              <w:rFonts w:asciiTheme="minorHAnsi" w:eastAsiaTheme="minorEastAsia" w:hAnsiTheme="minorHAnsi"/>
              <w:noProof/>
              <w:sz w:val="22"/>
            </w:rPr>
          </w:pPr>
          <w:hyperlink w:anchor="_Toc4505521" w:history="1">
            <w:r w:rsidRPr="008E1065">
              <w:rPr>
                <w:rStyle w:val="Hyperlink"/>
                <w:rFonts w:eastAsia="Times New Roman"/>
                <w:noProof/>
              </w:rPr>
              <w:t>Endnotes</w:t>
            </w:r>
            <w:r>
              <w:rPr>
                <w:noProof/>
                <w:webHidden/>
              </w:rPr>
              <w:tab/>
            </w:r>
            <w:r>
              <w:rPr>
                <w:noProof/>
                <w:webHidden/>
              </w:rPr>
              <w:fldChar w:fldCharType="begin"/>
            </w:r>
            <w:r>
              <w:rPr>
                <w:noProof/>
                <w:webHidden/>
              </w:rPr>
              <w:instrText xml:space="preserve"> PAGEREF _Toc4505521 \h </w:instrText>
            </w:r>
            <w:r>
              <w:rPr>
                <w:noProof/>
                <w:webHidden/>
              </w:rPr>
            </w:r>
            <w:r>
              <w:rPr>
                <w:noProof/>
                <w:webHidden/>
              </w:rPr>
              <w:fldChar w:fldCharType="separate"/>
            </w:r>
            <w:r>
              <w:rPr>
                <w:noProof/>
                <w:webHidden/>
              </w:rPr>
              <w:t>14</w:t>
            </w:r>
            <w:r>
              <w:rPr>
                <w:noProof/>
                <w:webHidden/>
              </w:rPr>
              <w:fldChar w:fldCharType="end"/>
            </w:r>
          </w:hyperlink>
        </w:p>
        <w:p w14:paraId="562F4EFB" w14:textId="11AF4C0C" w:rsidR="002F54DC" w:rsidRDefault="002F54DC">
          <w:r>
            <w:rPr>
              <w:b/>
              <w:bCs/>
              <w:noProof/>
            </w:rPr>
            <w:fldChar w:fldCharType="end"/>
          </w:r>
        </w:p>
      </w:sdtContent>
    </w:sdt>
    <w:p w14:paraId="6FF5E539" w14:textId="77777777" w:rsidR="00AB62BD" w:rsidRDefault="00AB62BD">
      <w:pPr>
        <w:rPr>
          <w:rFonts w:eastAsiaTheme="majorEastAsia" w:cstheme="majorBidi"/>
          <w:b/>
          <w:spacing w:val="-10"/>
          <w:kern w:val="28"/>
          <w:sz w:val="56"/>
          <w:szCs w:val="56"/>
        </w:rPr>
      </w:pPr>
      <w:r>
        <w:br w:type="page"/>
      </w:r>
    </w:p>
    <w:p w14:paraId="4767A714" w14:textId="77777777" w:rsidR="00842E90" w:rsidRPr="00842E90" w:rsidRDefault="00842E90" w:rsidP="00AB62BD">
      <w:pPr>
        <w:spacing w:after="720"/>
        <w:ind w:left="-360"/>
        <w:jc w:val="center"/>
        <w:sectPr w:rsidR="00842E90" w:rsidRPr="00842E90" w:rsidSect="00AB62BD">
          <w:headerReference w:type="even" r:id="rId15"/>
          <w:headerReference w:type="default" r:id="rId16"/>
          <w:footerReference w:type="even" r:id="rId17"/>
          <w:footerReference w:type="default" r:id="rId18"/>
          <w:headerReference w:type="first" r:id="rId19"/>
          <w:footerReference w:type="first" r:id="rId20"/>
          <w:pgSz w:w="12240" w:h="15840"/>
          <w:pgMar w:top="1440" w:right="810" w:bottom="1440" w:left="1440" w:header="720" w:footer="720" w:gutter="0"/>
          <w:cols w:space="720"/>
          <w:docGrid w:linePitch="360"/>
        </w:sectPr>
      </w:pPr>
      <w:r w:rsidRPr="003C1DB0">
        <w:rPr>
          <w:rFonts w:eastAsiaTheme="majorEastAsia" w:cstheme="majorBidi"/>
          <w:b/>
          <w:spacing w:val="-10"/>
          <w:kern w:val="28"/>
          <w:sz w:val="56"/>
          <w:szCs w:val="56"/>
        </w:rPr>
        <w:lastRenderedPageBreak/>
        <w:t>A Report on Texas Service Animal Issues and Proposed Solutions</w:t>
      </w:r>
    </w:p>
    <w:p w14:paraId="6E818F57" w14:textId="77777777" w:rsidR="00FB277C" w:rsidRDefault="00FB277C" w:rsidP="0029420D">
      <w:pPr>
        <w:pStyle w:val="Heading1"/>
        <w:spacing w:after="240"/>
      </w:pPr>
      <w:bookmarkStart w:id="1" w:name="_Toc4505510"/>
      <w:r>
        <w:t>I</w:t>
      </w:r>
      <w:r w:rsidR="00BA6695">
        <w:t>NTRODUCTION</w:t>
      </w:r>
      <w:bookmarkEnd w:id="1"/>
      <w:r>
        <w:t xml:space="preserve"> </w:t>
      </w:r>
    </w:p>
    <w:p w14:paraId="7B64FE14" w14:textId="77777777" w:rsidR="007A4872" w:rsidRDefault="007D75F0" w:rsidP="00377691">
      <w:pPr>
        <w:rPr>
          <w:rFonts w:cs="Arial"/>
          <w:bCs/>
        </w:rPr>
      </w:pPr>
      <w:r>
        <w:rPr>
          <w:rFonts w:cs="Arial"/>
          <w:bCs/>
        </w:rPr>
        <w:t>This report summarizes</w:t>
      </w:r>
      <w:r w:rsidR="00271E41">
        <w:rPr>
          <w:rFonts w:cs="Arial"/>
          <w:bCs/>
        </w:rPr>
        <w:t xml:space="preserve"> information</w:t>
      </w:r>
      <w:r>
        <w:rPr>
          <w:rFonts w:cs="Arial"/>
          <w:bCs/>
        </w:rPr>
        <w:t xml:space="preserve"> gathered</w:t>
      </w:r>
      <w:r w:rsidR="00271E41">
        <w:rPr>
          <w:rFonts w:cs="Arial"/>
          <w:bCs/>
        </w:rPr>
        <w:t xml:space="preserve"> by the Governor’s Committee on People with Disabilities (GCPD)</w:t>
      </w:r>
      <w:r w:rsidR="007A4872">
        <w:rPr>
          <w:rFonts w:cs="Arial"/>
          <w:bCs/>
        </w:rPr>
        <w:t xml:space="preserve"> on concerns and experiences related to interactions of people with disabilities a</w:t>
      </w:r>
      <w:r w:rsidR="00C6415C">
        <w:rPr>
          <w:rFonts w:cs="Arial"/>
          <w:bCs/>
        </w:rPr>
        <w:t>n</w:t>
      </w:r>
      <w:r w:rsidR="007A4872">
        <w:rPr>
          <w:rFonts w:cs="Arial"/>
          <w:bCs/>
        </w:rPr>
        <w:t xml:space="preserve">d </w:t>
      </w:r>
      <w:r w:rsidR="00C6415C">
        <w:rPr>
          <w:rFonts w:cs="Arial"/>
          <w:bCs/>
        </w:rPr>
        <w:t>businesses</w:t>
      </w:r>
      <w:r>
        <w:rPr>
          <w:rFonts w:cs="Arial"/>
          <w:bCs/>
        </w:rPr>
        <w:t xml:space="preserve">, informs on how </w:t>
      </w:r>
      <w:r w:rsidR="00C6415C">
        <w:rPr>
          <w:rFonts w:cs="Arial"/>
          <w:bCs/>
        </w:rPr>
        <w:t>state and federal laws provide civil right</w:t>
      </w:r>
      <w:r w:rsidR="000062BF">
        <w:rPr>
          <w:rFonts w:cs="Arial"/>
          <w:bCs/>
        </w:rPr>
        <w:t>s</w:t>
      </w:r>
      <w:r w:rsidR="00C6415C">
        <w:rPr>
          <w:rFonts w:cs="Arial"/>
          <w:bCs/>
        </w:rPr>
        <w:t xml:space="preserve"> protections</w:t>
      </w:r>
      <w:r>
        <w:rPr>
          <w:rFonts w:cs="Arial"/>
          <w:bCs/>
        </w:rPr>
        <w:t xml:space="preserve"> to people with disabilities,</w:t>
      </w:r>
      <w:r w:rsidR="00271E41">
        <w:rPr>
          <w:rFonts w:cs="Arial"/>
          <w:bCs/>
        </w:rPr>
        <w:t xml:space="preserve"> and</w:t>
      </w:r>
      <w:r>
        <w:rPr>
          <w:rFonts w:cs="Arial"/>
          <w:bCs/>
        </w:rPr>
        <w:t xml:space="preserve"> provides guidance to</w:t>
      </w:r>
      <w:r w:rsidR="00C6415C">
        <w:rPr>
          <w:rFonts w:cs="Arial"/>
          <w:bCs/>
        </w:rPr>
        <w:t xml:space="preserve"> policy makers on </w:t>
      </w:r>
      <w:r>
        <w:rPr>
          <w:rFonts w:cs="Arial"/>
          <w:bCs/>
        </w:rPr>
        <w:t xml:space="preserve">making </w:t>
      </w:r>
      <w:r w:rsidR="00C6415C">
        <w:rPr>
          <w:rFonts w:cs="Arial"/>
          <w:bCs/>
        </w:rPr>
        <w:t>potential changes to state laws</w:t>
      </w:r>
      <w:r>
        <w:rPr>
          <w:rFonts w:cs="Arial"/>
          <w:bCs/>
        </w:rPr>
        <w:t>.</w:t>
      </w:r>
    </w:p>
    <w:p w14:paraId="6C7440AC" w14:textId="77777777" w:rsidR="00FB277C" w:rsidRPr="00701814" w:rsidRDefault="00271E41" w:rsidP="00FB277C">
      <w:pPr>
        <w:rPr>
          <w:rFonts w:cs="Arial"/>
          <w:szCs w:val="24"/>
        </w:rPr>
      </w:pPr>
      <w:r>
        <w:rPr>
          <w:rFonts w:cs="Arial"/>
          <w:color w:val="222222"/>
          <w:szCs w:val="24"/>
          <w:shd w:val="clear" w:color="auto" w:fill="FFFFFF"/>
        </w:rPr>
        <w:t xml:space="preserve">To assist in the preparation of this report, the </w:t>
      </w:r>
      <w:r w:rsidR="00D25C0C">
        <w:rPr>
          <w:rFonts w:cs="Arial"/>
          <w:szCs w:val="24"/>
        </w:rPr>
        <w:t>G</w:t>
      </w:r>
      <w:r w:rsidR="00FB277C" w:rsidRPr="00701814">
        <w:rPr>
          <w:rFonts w:cs="Arial"/>
          <w:szCs w:val="24"/>
        </w:rPr>
        <w:t xml:space="preserve">CPD </w:t>
      </w:r>
      <w:r w:rsidR="00D25C0C">
        <w:rPr>
          <w:rFonts w:cs="Arial"/>
          <w:szCs w:val="24"/>
        </w:rPr>
        <w:t xml:space="preserve">established </w:t>
      </w:r>
      <w:r w:rsidR="00FB277C" w:rsidRPr="00701814">
        <w:rPr>
          <w:rFonts w:cs="Arial"/>
          <w:szCs w:val="24"/>
        </w:rPr>
        <w:t xml:space="preserve">a workgroup to </w:t>
      </w:r>
      <w:r w:rsidR="00D25C0C">
        <w:rPr>
          <w:rFonts w:cs="Arial"/>
          <w:szCs w:val="24"/>
        </w:rPr>
        <w:t xml:space="preserve">gather information and </w:t>
      </w:r>
      <w:r w:rsidR="00FB277C">
        <w:rPr>
          <w:rFonts w:cs="Arial"/>
          <w:szCs w:val="24"/>
        </w:rPr>
        <w:t>develop</w:t>
      </w:r>
      <w:r w:rsidR="00FB277C" w:rsidRPr="00701814">
        <w:rPr>
          <w:rFonts w:cs="Arial"/>
          <w:szCs w:val="24"/>
        </w:rPr>
        <w:t xml:space="preserve"> solutions </w:t>
      </w:r>
      <w:r w:rsidR="00C5127D">
        <w:rPr>
          <w:rFonts w:cs="Arial"/>
          <w:szCs w:val="24"/>
        </w:rPr>
        <w:t>to address</w:t>
      </w:r>
      <w:r w:rsidR="00FB277C" w:rsidRPr="00701814">
        <w:rPr>
          <w:rFonts w:cs="Arial"/>
          <w:szCs w:val="24"/>
        </w:rPr>
        <w:t xml:space="preserve"> concerns</w:t>
      </w:r>
      <w:r w:rsidR="00C5127D">
        <w:rPr>
          <w:rFonts w:cs="Arial"/>
          <w:szCs w:val="24"/>
        </w:rPr>
        <w:t xml:space="preserve"> surrounding service animals</w:t>
      </w:r>
      <w:r w:rsidR="00FB277C" w:rsidRPr="00701814">
        <w:rPr>
          <w:rFonts w:cs="Arial"/>
          <w:szCs w:val="24"/>
        </w:rPr>
        <w:t>. Mem</w:t>
      </w:r>
      <w:r w:rsidR="00FB277C">
        <w:rPr>
          <w:rFonts w:cs="Arial"/>
          <w:szCs w:val="24"/>
        </w:rPr>
        <w:t>bers of the</w:t>
      </w:r>
      <w:r w:rsidR="00FB277C" w:rsidRPr="00701814">
        <w:rPr>
          <w:rFonts w:cs="Arial"/>
          <w:szCs w:val="24"/>
        </w:rPr>
        <w:t xml:space="preserve"> workgroup included</w:t>
      </w:r>
      <w:r w:rsidR="00C5127D">
        <w:rPr>
          <w:rFonts w:cs="Arial"/>
          <w:szCs w:val="24"/>
        </w:rPr>
        <w:t xml:space="preserve"> a disabled veteran and</w:t>
      </w:r>
      <w:r w:rsidR="00FB277C" w:rsidRPr="00701814">
        <w:rPr>
          <w:rFonts w:cs="Arial"/>
          <w:szCs w:val="24"/>
        </w:rPr>
        <w:t xml:space="preserve"> representatives from: </w:t>
      </w:r>
    </w:p>
    <w:p w14:paraId="42E1E69E"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 xml:space="preserve">ADAPT </w:t>
      </w:r>
      <w:r>
        <w:rPr>
          <w:rFonts w:ascii="Verdana" w:hAnsi="Verdana"/>
          <w:sz w:val="24"/>
          <w:szCs w:val="24"/>
        </w:rPr>
        <w:t>of Texas</w:t>
      </w:r>
    </w:p>
    <w:p w14:paraId="6F591708"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American Coun</w:t>
      </w:r>
      <w:r w:rsidR="00BA6695">
        <w:rPr>
          <w:rFonts w:ascii="Verdana" w:hAnsi="Verdana"/>
          <w:sz w:val="24"/>
          <w:szCs w:val="24"/>
        </w:rPr>
        <w:t xml:space="preserve">cil of the Blind of Texas </w:t>
      </w:r>
    </w:p>
    <w:p w14:paraId="47D593BA"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 xml:space="preserve">The ARC of Texas </w:t>
      </w:r>
    </w:p>
    <w:p w14:paraId="6791304B"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Criss Cole Rehabilitation Center - Texas Workforce Solutions</w:t>
      </w:r>
    </w:p>
    <w:p w14:paraId="47F69266" w14:textId="77777777" w:rsidR="00FB277C" w:rsidRPr="00701814" w:rsidRDefault="00BA6695" w:rsidP="0029420D">
      <w:pPr>
        <w:pStyle w:val="NoSpacing"/>
        <w:numPr>
          <w:ilvl w:val="0"/>
          <w:numId w:val="40"/>
        </w:numPr>
        <w:rPr>
          <w:rFonts w:ascii="Verdana" w:hAnsi="Verdana"/>
          <w:sz w:val="24"/>
          <w:szCs w:val="24"/>
        </w:rPr>
      </w:pPr>
      <w:r>
        <w:rPr>
          <w:rFonts w:ascii="Verdana" w:hAnsi="Verdana"/>
          <w:sz w:val="24"/>
          <w:szCs w:val="24"/>
        </w:rPr>
        <w:t xml:space="preserve">Disability Rights Texas </w:t>
      </w:r>
    </w:p>
    <w:p w14:paraId="595B3522"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National A</w:t>
      </w:r>
      <w:r w:rsidR="00BA6695">
        <w:rPr>
          <w:rFonts w:ascii="Verdana" w:hAnsi="Verdana"/>
          <w:sz w:val="24"/>
          <w:szCs w:val="24"/>
        </w:rPr>
        <w:t xml:space="preserve">lliance on Mental Illness </w:t>
      </w:r>
    </w:p>
    <w:p w14:paraId="1B1250A4"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National Federat</w:t>
      </w:r>
      <w:r w:rsidR="00BA6695">
        <w:rPr>
          <w:rFonts w:ascii="Verdana" w:hAnsi="Verdana"/>
          <w:sz w:val="24"/>
          <w:szCs w:val="24"/>
        </w:rPr>
        <w:t xml:space="preserve">ion of the Blind of Texas </w:t>
      </w:r>
    </w:p>
    <w:p w14:paraId="28AC5DA6" w14:textId="77777777" w:rsidR="00FB277C" w:rsidRPr="00701814" w:rsidRDefault="00FB277C" w:rsidP="0029420D">
      <w:pPr>
        <w:pStyle w:val="NoSpacing"/>
        <w:numPr>
          <w:ilvl w:val="0"/>
          <w:numId w:val="40"/>
        </w:numPr>
        <w:rPr>
          <w:rFonts w:ascii="Verdana" w:hAnsi="Verdana"/>
          <w:sz w:val="24"/>
          <w:szCs w:val="24"/>
        </w:rPr>
      </w:pPr>
      <w:r>
        <w:rPr>
          <w:rFonts w:ascii="Verdana" w:hAnsi="Verdana"/>
          <w:sz w:val="24"/>
          <w:szCs w:val="24"/>
        </w:rPr>
        <w:t>An individual representing s</w:t>
      </w:r>
      <w:r w:rsidRPr="00701814">
        <w:rPr>
          <w:rFonts w:ascii="Verdana" w:hAnsi="Verdana"/>
          <w:sz w:val="24"/>
          <w:szCs w:val="24"/>
        </w:rPr>
        <w:t xml:space="preserve">ervice </w:t>
      </w:r>
      <w:r>
        <w:rPr>
          <w:rFonts w:ascii="Verdana" w:hAnsi="Verdana"/>
          <w:sz w:val="24"/>
          <w:szCs w:val="24"/>
        </w:rPr>
        <w:t>d</w:t>
      </w:r>
      <w:r w:rsidRPr="00701814">
        <w:rPr>
          <w:rFonts w:ascii="Verdana" w:hAnsi="Verdana"/>
          <w:sz w:val="24"/>
          <w:szCs w:val="24"/>
        </w:rPr>
        <w:t xml:space="preserve">og </w:t>
      </w:r>
      <w:r>
        <w:rPr>
          <w:rFonts w:ascii="Verdana" w:hAnsi="Verdana"/>
          <w:sz w:val="24"/>
          <w:szCs w:val="24"/>
        </w:rPr>
        <w:t>t</w:t>
      </w:r>
      <w:r w:rsidRPr="00701814">
        <w:rPr>
          <w:rFonts w:ascii="Verdana" w:hAnsi="Verdana"/>
          <w:sz w:val="24"/>
          <w:szCs w:val="24"/>
        </w:rPr>
        <w:t xml:space="preserve">rainer and </w:t>
      </w:r>
      <w:r>
        <w:rPr>
          <w:rFonts w:ascii="Verdana" w:hAnsi="Verdana"/>
          <w:sz w:val="24"/>
          <w:szCs w:val="24"/>
        </w:rPr>
        <w:t>l</w:t>
      </w:r>
      <w:r w:rsidRPr="00701814">
        <w:rPr>
          <w:rFonts w:ascii="Verdana" w:hAnsi="Verdana"/>
          <w:sz w:val="24"/>
          <w:szCs w:val="24"/>
        </w:rPr>
        <w:t xml:space="preserve">aw </w:t>
      </w:r>
      <w:r>
        <w:rPr>
          <w:rFonts w:ascii="Verdana" w:hAnsi="Verdana"/>
          <w:sz w:val="24"/>
          <w:szCs w:val="24"/>
        </w:rPr>
        <w:t>e</w:t>
      </w:r>
      <w:r w:rsidRPr="00701814">
        <w:rPr>
          <w:rFonts w:ascii="Verdana" w:hAnsi="Verdana"/>
          <w:sz w:val="24"/>
          <w:szCs w:val="24"/>
        </w:rPr>
        <w:t xml:space="preserve">nforcement </w:t>
      </w:r>
      <w:r>
        <w:rPr>
          <w:rFonts w:ascii="Verdana" w:hAnsi="Verdana"/>
          <w:sz w:val="24"/>
          <w:szCs w:val="24"/>
        </w:rPr>
        <w:t>o</w:t>
      </w:r>
      <w:r w:rsidRPr="00701814">
        <w:rPr>
          <w:rFonts w:ascii="Verdana" w:hAnsi="Verdana"/>
          <w:sz w:val="24"/>
          <w:szCs w:val="24"/>
        </w:rPr>
        <w:t>fficer</w:t>
      </w:r>
      <w:r>
        <w:rPr>
          <w:rFonts w:ascii="Verdana" w:hAnsi="Verdana"/>
          <w:sz w:val="24"/>
          <w:szCs w:val="24"/>
        </w:rPr>
        <w:t>s</w:t>
      </w:r>
    </w:p>
    <w:p w14:paraId="77917A60"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Southwest ADA Center</w:t>
      </w:r>
    </w:p>
    <w:p w14:paraId="2310A33F" w14:textId="77777777" w:rsidR="00FB277C" w:rsidRPr="00701814" w:rsidRDefault="00FB277C" w:rsidP="0029420D">
      <w:pPr>
        <w:pStyle w:val="NoSpacing"/>
        <w:numPr>
          <w:ilvl w:val="0"/>
          <w:numId w:val="40"/>
        </w:numPr>
        <w:rPr>
          <w:rFonts w:ascii="Verdana" w:hAnsi="Verdana"/>
          <w:sz w:val="24"/>
          <w:szCs w:val="24"/>
        </w:rPr>
      </w:pPr>
      <w:r w:rsidRPr="00701814">
        <w:rPr>
          <w:rFonts w:ascii="Verdana" w:hAnsi="Verdana"/>
          <w:sz w:val="24"/>
          <w:szCs w:val="24"/>
        </w:rPr>
        <w:t>State Bar Disability Issues Committee</w:t>
      </w:r>
    </w:p>
    <w:p w14:paraId="505370CB" w14:textId="77777777" w:rsidR="00FB277C" w:rsidRPr="00C5127D" w:rsidRDefault="00FB277C" w:rsidP="00C5127D">
      <w:pPr>
        <w:pStyle w:val="NoSpacing"/>
        <w:numPr>
          <w:ilvl w:val="0"/>
          <w:numId w:val="40"/>
        </w:numPr>
        <w:rPr>
          <w:rFonts w:ascii="Verdana" w:hAnsi="Verdana"/>
          <w:sz w:val="24"/>
          <w:szCs w:val="24"/>
        </w:rPr>
      </w:pPr>
      <w:r w:rsidRPr="00701814">
        <w:rPr>
          <w:rFonts w:ascii="Verdana" w:hAnsi="Verdana"/>
          <w:sz w:val="24"/>
          <w:szCs w:val="24"/>
        </w:rPr>
        <w:t>Texas Council on Developmenta</w:t>
      </w:r>
      <w:r w:rsidR="00BA6695">
        <w:rPr>
          <w:rFonts w:ascii="Verdana" w:hAnsi="Verdana"/>
          <w:sz w:val="24"/>
          <w:szCs w:val="24"/>
        </w:rPr>
        <w:t xml:space="preserve">l Disabilities </w:t>
      </w:r>
    </w:p>
    <w:p w14:paraId="2C1AEB79" w14:textId="77777777" w:rsidR="00D25C0C" w:rsidRDefault="00D25C0C" w:rsidP="00D25C0C">
      <w:pPr>
        <w:spacing w:after="0" w:line="240" w:lineRule="auto"/>
        <w:rPr>
          <w:rFonts w:cs="Arial"/>
          <w:szCs w:val="24"/>
        </w:rPr>
      </w:pPr>
    </w:p>
    <w:p w14:paraId="1FC83EA0" w14:textId="77777777" w:rsidR="00FB277C" w:rsidRDefault="00FB277C" w:rsidP="00FB277C">
      <w:pPr>
        <w:rPr>
          <w:rFonts w:cs="Arial"/>
          <w:szCs w:val="24"/>
        </w:rPr>
      </w:pPr>
      <w:r w:rsidRPr="00701814">
        <w:rPr>
          <w:rFonts w:cs="Arial"/>
          <w:szCs w:val="24"/>
        </w:rPr>
        <w:t xml:space="preserve">This </w:t>
      </w:r>
      <w:r>
        <w:rPr>
          <w:rFonts w:cs="Arial"/>
          <w:szCs w:val="24"/>
        </w:rPr>
        <w:t xml:space="preserve">report is intended </w:t>
      </w:r>
      <w:r w:rsidRPr="00701814">
        <w:rPr>
          <w:rFonts w:cs="Arial"/>
          <w:szCs w:val="24"/>
        </w:rPr>
        <w:t>to</w:t>
      </w:r>
      <w:r w:rsidR="007E7742">
        <w:rPr>
          <w:rFonts w:cs="Arial"/>
          <w:szCs w:val="24"/>
        </w:rPr>
        <w:t xml:space="preserve"> clarify:</w:t>
      </w:r>
    </w:p>
    <w:p w14:paraId="60174668" w14:textId="6FA087DC" w:rsidR="00FB277C" w:rsidRDefault="00FB277C" w:rsidP="00FB277C">
      <w:pPr>
        <w:pStyle w:val="ListParagraph"/>
        <w:numPr>
          <w:ilvl w:val="0"/>
          <w:numId w:val="34"/>
        </w:numPr>
        <w:rPr>
          <w:rFonts w:cs="Arial"/>
          <w:szCs w:val="24"/>
        </w:rPr>
      </w:pPr>
      <w:r w:rsidRPr="00900DAA">
        <w:rPr>
          <w:rFonts w:cs="Arial"/>
          <w:szCs w:val="24"/>
        </w:rPr>
        <w:t xml:space="preserve">the difference between </w:t>
      </w:r>
      <w:r>
        <w:rPr>
          <w:rFonts w:cs="Arial"/>
          <w:szCs w:val="24"/>
        </w:rPr>
        <w:t>the term</w:t>
      </w:r>
      <w:r w:rsidR="00C5127D">
        <w:rPr>
          <w:rFonts w:cs="Arial"/>
          <w:szCs w:val="24"/>
        </w:rPr>
        <w:t>s</w:t>
      </w:r>
      <w:r>
        <w:rPr>
          <w:rFonts w:cs="Arial"/>
          <w:szCs w:val="24"/>
        </w:rPr>
        <w:t xml:space="preserve"> “</w:t>
      </w:r>
      <w:r w:rsidR="007E7742">
        <w:rPr>
          <w:rFonts w:cs="Arial"/>
          <w:szCs w:val="24"/>
        </w:rPr>
        <w:t>s</w:t>
      </w:r>
      <w:r w:rsidRPr="00900DAA">
        <w:rPr>
          <w:rFonts w:cs="Arial"/>
          <w:szCs w:val="24"/>
        </w:rPr>
        <w:t xml:space="preserve">ervice </w:t>
      </w:r>
      <w:r w:rsidR="007E7742">
        <w:rPr>
          <w:rFonts w:cs="Arial"/>
          <w:szCs w:val="24"/>
        </w:rPr>
        <w:t>a</w:t>
      </w:r>
      <w:r w:rsidRPr="00900DAA">
        <w:rPr>
          <w:rFonts w:cs="Arial"/>
          <w:szCs w:val="24"/>
        </w:rPr>
        <w:t>nimal</w:t>
      </w:r>
      <w:r>
        <w:rPr>
          <w:rFonts w:cs="Arial"/>
          <w:szCs w:val="24"/>
        </w:rPr>
        <w:t>”</w:t>
      </w:r>
      <w:r w:rsidRPr="00900DAA">
        <w:rPr>
          <w:rFonts w:cs="Arial"/>
          <w:szCs w:val="24"/>
        </w:rPr>
        <w:t xml:space="preserve"> and </w:t>
      </w:r>
      <w:r>
        <w:rPr>
          <w:rFonts w:cs="Arial"/>
          <w:szCs w:val="24"/>
        </w:rPr>
        <w:t>“a</w:t>
      </w:r>
      <w:r w:rsidRPr="00900DAA">
        <w:rPr>
          <w:rFonts w:cs="Arial"/>
          <w:szCs w:val="24"/>
        </w:rPr>
        <w:t>ssistan</w:t>
      </w:r>
      <w:r>
        <w:rPr>
          <w:rFonts w:cs="Arial"/>
          <w:szCs w:val="24"/>
        </w:rPr>
        <w:t>ce</w:t>
      </w:r>
      <w:r w:rsidRPr="00900DAA">
        <w:rPr>
          <w:rFonts w:cs="Arial"/>
          <w:szCs w:val="24"/>
        </w:rPr>
        <w:t xml:space="preserve"> </w:t>
      </w:r>
      <w:r>
        <w:rPr>
          <w:rFonts w:cs="Arial"/>
          <w:szCs w:val="24"/>
        </w:rPr>
        <w:t>a</w:t>
      </w:r>
      <w:r w:rsidRPr="00900DAA">
        <w:rPr>
          <w:rFonts w:cs="Arial"/>
          <w:szCs w:val="24"/>
        </w:rPr>
        <w:t>nimal</w:t>
      </w:r>
      <w:r>
        <w:rPr>
          <w:rFonts w:cs="Arial"/>
          <w:szCs w:val="24"/>
        </w:rPr>
        <w:t>”</w:t>
      </w:r>
      <w:r w:rsidR="004567DC">
        <w:rPr>
          <w:rFonts w:cs="Arial"/>
          <w:szCs w:val="24"/>
        </w:rPr>
        <w:t>;</w:t>
      </w:r>
      <w:r w:rsidRPr="00900DAA">
        <w:rPr>
          <w:rFonts w:cs="Arial"/>
          <w:szCs w:val="24"/>
        </w:rPr>
        <w:t xml:space="preserve"> </w:t>
      </w:r>
    </w:p>
    <w:p w14:paraId="77F4EC27" w14:textId="77777777" w:rsidR="00FB277C" w:rsidRDefault="007E7742" w:rsidP="00FB277C">
      <w:pPr>
        <w:pStyle w:val="ListParagraph"/>
        <w:numPr>
          <w:ilvl w:val="0"/>
          <w:numId w:val="34"/>
        </w:numPr>
        <w:rPr>
          <w:rFonts w:cs="Arial"/>
          <w:szCs w:val="24"/>
        </w:rPr>
      </w:pPr>
      <w:r>
        <w:rPr>
          <w:rFonts w:cs="Arial"/>
          <w:szCs w:val="24"/>
        </w:rPr>
        <w:t>how service animals are used and where they are permitted to be used;</w:t>
      </w:r>
      <w:r w:rsidR="00FB277C" w:rsidRPr="00900DAA">
        <w:rPr>
          <w:rFonts w:cs="Arial"/>
          <w:szCs w:val="24"/>
        </w:rPr>
        <w:t xml:space="preserve"> </w:t>
      </w:r>
    </w:p>
    <w:p w14:paraId="0A149559" w14:textId="77777777" w:rsidR="00FB277C" w:rsidRDefault="00FB277C" w:rsidP="00FB277C">
      <w:pPr>
        <w:pStyle w:val="ListParagraph"/>
        <w:numPr>
          <w:ilvl w:val="0"/>
          <w:numId w:val="34"/>
        </w:numPr>
        <w:rPr>
          <w:rFonts w:cs="Arial"/>
          <w:szCs w:val="24"/>
        </w:rPr>
      </w:pPr>
      <w:r w:rsidRPr="00900DAA">
        <w:rPr>
          <w:rFonts w:cs="Arial"/>
          <w:szCs w:val="24"/>
        </w:rPr>
        <w:t>penalties for misrepresenting a dog as a service animal</w:t>
      </w:r>
      <w:r w:rsidR="007E7742">
        <w:rPr>
          <w:rFonts w:cs="Arial"/>
          <w:szCs w:val="24"/>
        </w:rPr>
        <w:t>;</w:t>
      </w:r>
      <w:r w:rsidRPr="00900DAA">
        <w:rPr>
          <w:rFonts w:cs="Arial"/>
          <w:szCs w:val="24"/>
        </w:rPr>
        <w:t xml:space="preserve"> and </w:t>
      </w:r>
    </w:p>
    <w:p w14:paraId="52B23080" w14:textId="77777777" w:rsidR="00FB277C" w:rsidRDefault="007E7742" w:rsidP="00FB277C">
      <w:pPr>
        <w:pStyle w:val="ListParagraph"/>
        <w:numPr>
          <w:ilvl w:val="0"/>
          <w:numId w:val="34"/>
        </w:numPr>
        <w:rPr>
          <w:rFonts w:cs="Arial"/>
          <w:szCs w:val="24"/>
        </w:rPr>
      </w:pPr>
      <w:r>
        <w:rPr>
          <w:rFonts w:cs="Arial"/>
          <w:szCs w:val="24"/>
        </w:rPr>
        <w:t xml:space="preserve">the </w:t>
      </w:r>
      <w:r w:rsidR="00FB277C" w:rsidRPr="00900DAA">
        <w:rPr>
          <w:rFonts w:cs="Arial"/>
          <w:szCs w:val="24"/>
        </w:rPr>
        <w:t xml:space="preserve">challenges faced by </w:t>
      </w:r>
      <w:r w:rsidR="00FB277C">
        <w:rPr>
          <w:rFonts w:cs="Arial"/>
          <w:szCs w:val="24"/>
        </w:rPr>
        <w:t xml:space="preserve">people with disabilities and </w:t>
      </w:r>
      <w:r w:rsidR="00FB277C" w:rsidRPr="00900DAA">
        <w:rPr>
          <w:rFonts w:cs="Arial"/>
          <w:szCs w:val="24"/>
        </w:rPr>
        <w:t xml:space="preserve">law enforcement. </w:t>
      </w:r>
    </w:p>
    <w:p w14:paraId="18FB8F0C" w14:textId="01C78C06" w:rsidR="00FB277C" w:rsidRDefault="00D25C0C" w:rsidP="00FB277C">
      <w:pPr>
        <w:rPr>
          <w:rFonts w:cs="Arial"/>
          <w:szCs w:val="24"/>
        </w:rPr>
      </w:pPr>
      <w:r>
        <w:rPr>
          <w:rFonts w:cs="Arial"/>
          <w:szCs w:val="24"/>
        </w:rPr>
        <w:lastRenderedPageBreak/>
        <w:t>Finally</w:t>
      </w:r>
      <w:r w:rsidR="00FB277C" w:rsidRPr="00900DAA">
        <w:rPr>
          <w:rFonts w:cs="Arial"/>
          <w:szCs w:val="24"/>
        </w:rPr>
        <w:t xml:space="preserve">, </w:t>
      </w:r>
      <w:r w:rsidR="00FB277C">
        <w:rPr>
          <w:rFonts w:cs="Arial"/>
          <w:szCs w:val="24"/>
        </w:rPr>
        <w:t xml:space="preserve">this report contains GCPD’s </w:t>
      </w:r>
      <w:r w:rsidR="00FB277C" w:rsidRPr="00900DAA">
        <w:rPr>
          <w:rFonts w:cs="Arial"/>
          <w:szCs w:val="24"/>
        </w:rPr>
        <w:t xml:space="preserve">recommendations </w:t>
      </w:r>
      <w:r>
        <w:rPr>
          <w:rFonts w:cs="Arial"/>
          <w:szCs w:val="24"/>
        </w:rPr>
        <w:t xml:space="preserve">for </w:t>
      </w:r>
      <w:r w:rsidR="00C5127D">
        <w:rPr>
          <w:rFonts w:cs="Arial"/>
          <w:szCs w:val="24"/>
        </w:rPr>
        <w:t>needed changes in Texas law</w:t>
      </w:r>
      <w:r w:rsidR="008821FD">
        <w:rPr>
          <w:rFonts w:cs="Arial"/>
          <w:szCs w:val="24"/>
        </w:rPr>
        <w:t xml:space="preserve"> </w:t>
      </w:r>
      <w:r w:rsidR="00E311CD">
        <w:rPr>
          <w:rFonts w:cs="Arial"/>
          <w:szCs w:val="24"/>
        </w:rPr>
        <w:t xml:space="preserve">to </w:t>
      </w:r>
      <w:r w:rsidR="008821FD">
        <w:rPr>
          <w:rFonts w:cs="Arial"/>
          <w:szCs w:val="24"/>
        </w:rPr>
        <w:t xml:space="preserve">address </w:t>
      </w:r>
      <w:r w:rsidR="007418D4">
        <w:rPr>
          <w:rFonts w:cs="Arial"/>
          <w:szCs w:val="24"/>
        </w:rPr>
        <w:t xml:space="preserve">enforcement </w:t>
      </w:r>
      <w:r w:rsidR="007418D4" w:rsidRPr="00900DAA">
        <w:rPr>
          <w:rFonts w:cs="Arial"/>
          <w:szCs w:val="24"/>
        </w:rPr>
        <w:t>challenges.</w:t>
      </w:r>
      <w:r w:rsidR="007418D4">
        <w:rPr>
          <w:rFonts w:cs="Arial"/>
          <w:szCs w:val="24"/>
        </w:rPr>
        <w:t xml:space="preserve"> </w:t>
      </w:r>
    </w:p>
    <w:p w14:paraId="0211EC42" w14:textId="59988137" w:rsidR="00592D29" w:rsidRPr="00592D29" w:rsidRDefault="00592D29" w:rsidP="00592D29">
      <w:pPr>
        <w:rPr>
          <w:rFonts w:cs="Arial"/>
          <w:b/>
          <w:bCs/>
        </w:rPr>
      </w:pPr>
      <w:r w:rsidRPr="00592D29">
        <w:rPr>
          <w:rFonts w:cs="Arial"/>
          <w:b/>
          <w:szCs w:val="24"/>
        </w:rPr>
        <w:t>PROBLEM</w:t>
      </w:r>
    </w:p>
    <w:p w14:paraId="1C5E990E" w14:textId="0AACE030" w:rsidR="00796756" w:rsidRDefault="00C5127D" w:rsidP="00377691">
      <w:pPr>
        <w:rPr>
          <w:rFonts w:cs="Arial"/>
          <w:bCs/>
        </w:rPr>
      </w:pPr>
      <w:r>
        <w:rPr>
          <w:rFonts w:cs="Arial"/>
          <w:bCs/>
        </w:rPr>
        <w:t>While the public is accustom</w:t>
      </w:r>
      <w:r w:rsidR="004567DC">
        <w:rPr>
          <w:rFonts w:cs="Arial"/>
          <w:bCs/>
        </w:rPr>
        <w:t>ed</w:t>
      </w:r>
      <w:r>
        <w:rPr>
          <w:rFonts w:cs="Arial"/>
          <w:bCs/>
        </w:rPr>
        <w:t xml:space="preserve"> to</w:t>
      </w:r>
      <w:r w:rsidR="007A4872">
        <w:rPr>
          <w:rFonts w:cs="Arial"/>
          <w:bCs/>
        </w:rPr>
        <w:t xml:space="preserve"> encounter</w:t>
      </w:r>
      <w:r>
        <w:rPr>
          <w:rFonts w:cs="Arial"/>
          <w:bCs/>
        </w:rPr>
        <w:t>s</w:t>
      </w:r>
      <w:r w:rsidR="007A4872">
        <w:rPr>
          <w:rFonts w:cs="Arial"/>
          <w:bCs/>
        </w:rPr>
        <w:t xml:space="preserve"> </w:t>
      </w:r>
      <w:r>
        <w:rPr>
          <w:rFonts w:cs="Arial"/>
          <w:bCs/>
        </w:rPr>
        <w:t>with</w:t>
      </w:r>
      <w:r w:rsidR="00C366C2" w:rsidRPr="00322FF3">
        <w:rPr>
          <w:rFonts w:cs="Arial"/>
          <w:bCs/>
        </w:rPr>
        <w:t xml:space="preserve"> service animal</w:t>
      </w:r>
      <w:r>
        <w:rPr>
          <w:rFonts w:cs="Arial"/>
          <w:bCs/>
        </w:rPr>
        <w:t>s</w:t>
      </w:r>
      <w:r w:rsidR="00C366C2" w:rsidRPr="00322FF3">
        <w:rPr>
          <w:rFonts w:cs="Arial"/>
          <w:bCs/>
        </w:rPr>
        <w:t xml:space="preserve"> in</w:t>
      </w:r>
      <w:r>
        <w:rPr>
          <w:rFonts w:cs="Arial"/>
          <w:bCs/>
        </w:rPr>
        <w:t xml:space="preserve"> public settings such as</w:t>
      </w:r>
      <w:r w:rsidR="00C366C2" w:rsidRPr="00322FF3">
        <w:rPr>
          <w:rFonts w:cs="Arial"/>
          <w:bCs/>
        </w:rPr>
        <w:t xml:space="preserve"> a grocery store, restaurant, </w:t>
      </w:r>
      <w:r w:rsidR="00301AF1">
        <w:rPr>
          <w:rFonts w:cs="Arial"/>
          <w:bCs/>
        </w:rPr>
        <w:t xml:space="preserve">or </w:t>
      </w:r>
      <w:r w:rsidR="00C366C2" w:rsidRPr="00322FF3">
        <w:rPr>
          <w:rFonts w:cs="Arial"/>
          <w:bCs/>
        </w:rPr>
        <w:t>shopping center</w:t>
      </w:r>
      <w:r>
        <w:rPr>
          <w:rFonts w:cs="Arial"/>
          <w:bCs/>
        </w:rPr>
        <w:t>, the laws</w:t>
      </w:r>
      <w:r w:rsidR="00AF360D" w:rsidRPr="00322FF3">
        <w:rPr>
          <w:rFonts w:cs="Arial"/>
          <w:bCs/>
        </w:rPr>
        <w:t xml:space="preserve"> and regulations</w:t>
      </w:r>
      <w:r>
        <w:rPr>
          <w:rFonts w:cs="Arial"/>
          <w:bCs/>
        </w:rPr>
        <w:t xml:space="preserve"> governing service</w:t>
      </w:r>
      <w:r w:rsidR="007F5334" w:rsidRPr="00322FF3">
        <w:rPr>
          <w:rFonts w:cs="Arial"/>
          <w:bCs/>
        </w:rPr>
        <w:t xml:space="preserve"> </w:t>
      </w:r>
      <w:r w:rsidR="0093411D" w:rsidRPr="00322FF3">
        <w:rPr>
          <w:rFonts w:cs="Arial"/>
          <w:bCs/>
        </w:rPr>
        <w:t xml:space="preserve">and assistance animals </w:t>
      </w:r>
      <w:r w:rsidR="007F5334" w:rsidRPr="00322FF3">
        <w:rPr>
          <w:rFonts w:cs="Arial"/>
          <w:bCs/>
        </w:rPr>
        <w:t>are</w:t>
      </w:r>
      <w:r>
        <w:rPr>
          <w:rFonts w:cs="Arial"/>
          <w:bCs/>
        </w:rPr>
        <w:t xml:space="preserve"> still</w:t>
      </w:r>
      <w:r w:rsidR="007F5334" w:rsidRPr="00322FF3">
        <w:rPr>
          <w:rFonts w:cs="Arial"/>
          <w:bCs/>
        </w:rPr>
        <w:t xml:space="preserve"> often misunderstood.</w:t>
      </w:r>
      <w:r>
        <w:rPr>
          <w:rFonts w:cs="Arial"/>
          <w:bCs/>
        </w:rPr>
        <w:t xml:space="preserve">  For example, there</w:t>
      </w:r>
      <w:r w:rsidR="007F5334" w:rsidRPr="00322FF3">
        <w:rPr>
          <w:rFonts w:cs="Arial"/>
          <w:bCs/>
        </w:rPr>
        <w:t xml:space="preserve"> is confusion</w:t>
      </w:r>
      <w:r>
        <w:rPr>
          <w:rFonts w:cs="Arial"/>
          <w:bCs/>
        </w:rPr>
        <w:t xml:space="preserve"> surrounding relevant</w:t>
      </w:r>
      <w:r w:rsidR="007F5334" w:rsidRPr="00322FF3">
        <w:rPr>
          <w:rFonts w:cs="Arial"/>
          <w:bCs/>
        </w:rPr>
        <w:t xml:space="preserve"> terminology</w:t>
      </w:r>
      <w:r>
        <w:rPr>
          <w:rFonts w:cs="Arial"/>
          <w:bCs/>
        </w:rPr>
        <w:t>:</w:t>
      </w:r>
      <w:r w:rsidR="00322FF3">
        <w:rPr>
          <w:rFonts w:cs="Arial"/>
          <w:bCs/>
        </w:rPr>
        <w:t xml:space="preserve"> </w:t>
      </w:r>
      <w:r>
        <w:rPr>
          <w:rFonts w:cs="Arial"/>
          <w:bCs/>
        </w:rPr>
        <w:t>“</w:t>
      </w:r>
      <w:r w:rsidR="003A5449" w:rsidRPr="00322FF3">
        <w:rPr>
          <w:rFonts w:cs="Arial"/>
          <w:bCs/>
        </w:rPr>
        <w:t>service animal,</w:t>
      </w:r>
      <w:r>
        <w:rPr>
          <w:rFonts w:cs="Arial"/>
          <w:bCs/>
        </w:rPr>
        <w:t>”</w:t>
      </w:r>
      <w:r w:rsidR="003A5449" w:rsidRPr="00322FF3">
        <w:rPr>
          <w:rFonts w:cs="Arial"/>
          <w:bCs/>
        </w:rPr>
        <w:t xml:space="preserve"> </w:t>
      </w:r>
      <w:r>
        <w:rPr>
          <w:rFonts w:cs="Arial"/>
          <w:bCs/>
        </w:rPr>
        <w:t>“</w:t>
      </w:r>
      <w:r w:rsidR="003A5449" w:rsidRPr="00322FF3">
        <w:rPr>
          <w:rFonts w:cs="Arial"/>
          <w:bCs/>
        </w:rPr>
        <w:t>assistance animal,</w:t>
      </w:r>
      <w:r>
        <w:rPr>
          <w:rFonts w:cs="Arial"/>
          <w:bCs/>
        </w:rPr>
        <w:t>”</w:t>
      </w:r>
      <w:r w:rsidR="003A5449" w:rsidRPr="00322FF3">
        <w:rPr>
          <w:rFonts w:cs="Arial"/>
          <w:bCs/>
        </w:rPr>
        <w:t xml:space="preserve"> </w:t>
      </w:r>
      <w:r>
        <w:rPr>
          <w:rFonts w:cs="Arial"/>
          <w:bCs/>
        </w:rPr>
        <w:t>“</w:t>
      </w:r>
      <w:r w:rsidR="003A5449" w:rsidRPr="00322FF3">
        <w:rPr>
          <w:rFonts w:cs="Arial"/>
          <w:bCs/>
        </w:rPr>
        <w:t>emotional su</w:t>
      </w:r>
      <w:r w:rsidR="00322FF3">
        <w:rPr>
          <w:rFonts w:cs="Arial"/>
          <w:bCs/>
        </w:rPr>
        <w:t>pport animal</w:t>
      </w:r>
      <w:r>
        <w:rPr>
          <w:rFonts w:cs="Arial"/>
          <w:bCs/>
        </w:rPr>
        <w:t>,”</w:t>
      </w:r>
      <w:r w:rsidR="00322FF3">
        <w:rPr>
          <w:rFonts w:cs="Arial"/>
          <w:bCs/>
        </w:rPr>
        <w:t xml:space="preserve"> and </w:t>
      </w:r>
      <w:r>
        <w:rPr>
          <w:rFonts w:cs="Arial"/>
          <w:bCs/>
        </w:rPr>
        <w:t>“</w:t>
      </w:r>
      <w:r w:rsidR="00322FF3">
        <w:rPr>
          <w:rFonts w:cs="Arial"/>
          <w:bCs/>
        </w:rPr>
        <w:t>comfort animal</w:t>
      </w:r>
      <w:r>
        <w:rPr>
          <w:rFonts w:cs="Arial"/>
          <w:bCs/>
        </w:rPr>
        <w:t>.”</w:t>
      </w:r>
      <w:r w:rsidR="003A5449" w:rsidRPr="00322FF3">
        <w:rPr>
          <w:rFonts w:cs="Arial"/>
          <w:bCs/>
        </w:rPr>
        <w:t xml:space="preserve"> </w:t>
      </w:r>
      <w:r>
        <w:rPr>
          <w:rFonts w:cs="Arial"/>
          <w:bCs/>
        </w:rPr>
        <w:t xml:space="preserve"> </w:t>
      </w:r>
      <w:r w:rsidR="000062BF">
        <w:rPr>
          <w:rFonts w:cs="Arial"/>
          <w:bCs/>
        </w:rPr>
        <w:t>Further c</w:t>
      </w:r>
      <w:r w:rsidR="00322FF3">
        <w:rPr>
          <w:rFonts w:cs="Arial"/>
          <w:bCs/>
        </w:rPr>
        <w:t xml:space="preserve">onfusion </w:t>
      </w:r>
      <w:r w:rsidR="000062BF">
        <w:rPr>
          <w:rFonts w:cs="Arial"/>
          <w:bCs/>
        </w:rPr>
        <w:t xml:space="preserve">results from the context and </w:t>
      </w:r>
      <w:r w:rsidR="007C562C">
        <w:rPr>
          <w:rFonts w:cs="Arial"/>
          <w:bCs/>
        </w:rPr>
        <w:t xml:space="preserve">setting </w:t>
      </w:r>
      <w:r w:rsidR="000062BF">
        <w:rPr>
          <w:rFonts w:cs="Arial"/>
          <w:bCs/>
        </w:rPr>
        <w:t>of the service animal encounter and</w:t>
      </w:r>
      <w:r w:rsidR="00F9029A">
        <w:rPr>
          <w:rFonts w:cs="Arial"/>
          <w:bCs/>
        </w:rPr>
        <w:t xml:space="preserve"> questions on</w:t>
      </w:r>
      <w:r w:rsidR="000062BF">
        <w:rPr>
          <w:rFonts w:cs="Arial"/>
          <w:bCs/>
        </w:rPr>
        <w:t xml:space="preserve"> which laws apply to that setting</w:t>
      </w:r>
      <w:r w:rsidR="007C562C">
        <w:rPr>
          <w:rFonts w:cs="Arial"/>
          <w:bCs/>
        </w:rPr>
        <w:t xml:space="preserve">. </w:t>
      </w:r>
    </w:p>
    <w:p w14:paraId="74227ABC" w14:textId="77777777" w:rsidR="00824F81" w:rsidRPr="00900DAA" w:rsidRDefault="00EA1066" w:rsidP="00704FA0">
      <w:pPr>
        <w:rPr>
          <w:rFonts w:cs="Arial"/>
          <w:szCs w:val="24"/>
        </w:rPr>
      </w:pPr>
      <w:r>
        <w:rPr>
          <w:rFonts w:cs="Arial"/>
          <w:color w:val="222222"/>
          <w:shd w:val="clear" w:color="auto" w:fill="FFFFFF"/>
        </w:rPr>
        <w:t>The</w:t>
      </w:r>
      <w:r w:rsidR="00F9029A">
        <w:rPr>
          <w:rFonts w:cs="Arial"/>
          <w:color w:val="222222"/>
          <w:shd w:val="clear" w:color="auto" w:fill="FFFFFF"/>
        </w:rPr>
        <w:t xml:space="preserve"> </w:t>
      </w:r>
      <w:r w:rsidR="00473088" w:rsidRPr="00377691">
        <w:rPr>
          <w:rFonts w:cs="Arial"/>
        </w:rPr>
        <w:t>GCPD</w:t>
      </w:r>
      <w:r w:rsidR="00F9029A">
        <w:rPr>
          <w:rFonts w:cs="Arial"/>
        </w:rPr>
        <w:t xml:space="preserve"> regularly</w:t>
      </w:r>
      <w:r w:rsidR="00473088" w:rsidRPr="00377691">
        <w:rPr>
          <w:rFonts w:cs="Arial"/>
        </w:rPr>
        <w:t xml:space="preserve"> </w:t>
      </w:r>
      <w:r w:rsidR="00473088">
        <w:rPr>
          <w:rFonts w:cs="Arial"/>
        </w:rPr>
        <w:t>receives</w:t>
      </w:r>
      <w:r w:rsidR="00F9029A">
        <w:rPr>
          <w:rFonts w:cs="Arial"/>
        </w:rPr>
        <w:t xml:space="preserve"> questions</w:t>
      </w:r>
      <w:r w:rsidR="00473088">
        <w:rPr>
          <w:rFonts w:cs="Arial"/>
        </w:rPr>
        <w:t xml:space="preserve"> from businesses</w:t>
      </w:r>
      <w:r w:rsidR="00F9029A">
        <w:rPr>
          <w:rFonts w:cs="Arial"/>
        </w:rPr>
        <w:t xml:space="preserve"> and individuals</w:t>
      </w:r>
      <w:r w:rsidR="00473088">
        <w:rPr>
          <w:rFonts w:cs="Arial"/>
        </w:rPr>
        <w:t xml:space="preserve"> </w:t>
      </w:r>
      <w:r w:rsidR="00301AF1">
        <w:rPr>
          <w:rFonts w:cs="Arial"/>
        </w:rPr>
        <w:t>concerning</w:t>
      </w:r>
      <w:r w:rsidR="00F9029A">
        <w:rPr>
          <w:rFonts w:cs="Arial"/>
        </w:rPr>
        <w:t xml:space="preserve"> service animals:</w:t>
      </w:r>
      <w:r w:rsidR="00F9029A" w:rsidRPr="00F9029A">
        <w:t xml:space="preserve"> </w:t>
      </w:r>
      <w:r w:rsidR="00F9029A" w:rsidRPr="00F9029A">
        <w:rPr>
          <w:rFonts w:cs="Arial"/>
        </w:rPr>
        <w:t>how do I distinguish between a service animal and a pet, may I bring an emotional support animal into a restaurant, when is it proper for a business to eject a service animal, etc.  This report is designed to help answer those questions and many others.</w:t>
      </w:r>
      <w:r w:rsidR="00473088">
        <w:rPr>
          <w:rFonts w:cs="Arial"/>
        </w:rPr>
        <w:t xml:space="preserve"> </w:t>
      </w:r>
    </w:p>
    <w:p w14:paraId="69CB7787" w14:textId="77777777" w:rsidR="00C25FEB" w:rsidRPr="00BA6695" w:rsidRDefault="007418D4" w:rsidP="002F11D0">
      <w:pPr>
        <w:pStyle w:val="Heading1"/>
        <w:spacing w:after="240"/>
        <w:rPr>
          <w:u w:val="single"/>
        </w:rPr>
      </w:pPr>
      <w:bookmarkStart w:id="2" w:name="_Toc4505511"/>
      <w:r w:rsidRPr="00BA6695">
        <w:rPr>
          <w:u w:val="single"/>
        </w:rPr>
        <w:t xml:space="preserve">Difference </w:t>
      </w:r>
      <w:r w:rsidR="00BA6695">
        <w:rPr>
          <w:u w:val="single"/>
        </w:rPr>
        <w:t>B</w:t>
      </w:r>
      <w:r w:rsidR="007E7742" w:rsidRPr="00BA6695">
        <w:rPr>
          <w:u w:val="single"/>
        </w:rPr>
        <w:t>etween</w:t>
      </w:r>
      <w:r w:rsidRPr="00BA6695">
        <w:rPr>
          <w:u w:val="single"/>
        </w:rPr>
        <w:t xml:space="preserve"> Service and Assistance Animals</w:t>
      </w:r>
      <w:bookmarkEnd w:id="2"/>
    </w:p>
    <w:p w14:paraId="6EDE9CD2" w14:textId="199237BB" w:rsidR="004567DC" w:rsidRPr="004567DC" w:rsidRDefault="00B12830" w:rsidP="00377691">
      <w:pPr>
        <w:rPr>
          <w:rFonts w:cs="Arial"/>
          <w:bCs/>
        </w:rPr>
      </w:pPr>
      <w:r>
        <w:rPr>
          <w:rFonts w:cs="Arial"/>
          <w:bCs/>
        </w:rPr>
        <w:t xml:space="preserve">Federal </w:t>
      </w:r>
      <w:r w:rsidR="004567DC">
        <w:rPr>
          <w:rFonts w:cs="Arial"/>
          <w:bCs/>
        </w:rPr>
        <w:t>and state law</w:t>
      </w:r>
      <w:r>
        <w:rPr>
          <w:rFonts w:cs="Arial"/>
          <w:bCs/>
        </w:rPr>
        <w:t>s</w:t>
      </w:r>
      <w:r w:rsidR="004567DC">
        <w:rPr>
          <w:rFonts w:cs="Arial"/>
          <w:bCs/>
        </w:rPr>
        <w:t xml:space="preserve"> use the terms </w:t>
      </w:r>
      <w:r>
        <w:rPr>
          <w:rFonts w:cs="Arial"/>
          <w:bCs/>
        </w:rPr>
        <w:t>“</w:t>
      </w:r>
      <w:r w:rsidR="004567DC">
        <w:rPr>
          <w:rFonts w:cs="Arial"/>
          <w:bCs/>
        </w:rPr>
        <w:t>service animal</w:t>
      </w:r>
      <w:r>
        <w:rPr>
          <w:rFonts w:cs="Arial"/>
          <w:bCs/>
        </w:rPr>
        <w:t>”</w:t>
      </w:r>
      <w:r w:rsidR="004567DC">
        <w:rPr>
          <w:rFonts w:cs="Arial"/>
          <w:bCs/>
        </w:rPr>
        <w:t xml:space="preserve"> and </w:t>
      </w:r>
      <w:r>
        <w:rPr>
          <w:rFonts w:cs="Arial"/>
          <w:bCs/>
        </w:rPr>
        <w:t>“</w:t>
      </w:r>
      <w:r w:rsidR="004567DC">
        <w:rPr>
          <w:rFonts w:cs="Arial"/>
          <w:bCs/>
        </w:rPr>
        <w:t>assistance animal</w:t>
      </w:r>
      <w:r>
        <w:rPr>
          <w:rFonts w:cs="Arial"/>
          <w:bCs/>
        </w:rPr>
        <w:t>”</w:t>
      </w:r>
      <w:r w:rsidR="004567DC">
        <w:rPr>
          <w:rFonts w:cs="Arial"/>
          <w:bCs/>
        </w:rPr>
        <w:t xml:space="preserve"> inconsistently</w:t>
      </w:r>
      <w:r>
        <w:rPr>
          <w:rFonts w:cs="Arial"/>
          <w:bCs/>
        </w:rPr>
        <w:t xml:space="preserve">, resulting in substantial confusion about the meaning of those terms.  Before discussing how those terms have been used in </w:t>
      </w:r>
      <w:r w:rsidR="001E4F52">
        <w:rPr>
          <w:rFonts w:cs="Arial"/>
          <w:bCs/>
        </w:rPr>
        <w:t xml:space="preserve">the </w:t>
      </w:r>
      <w:r>
        <w:rPr>
          <w:rFonts w:cs="Arial"/>
          <w:bCs/>
        </w:rPr>
        <w:t xml:space="preserve">various laws, this report </w:t>
      </w:r>
      <w:r w:rsidR="001464E4">
        <w:rPr>
          <w:rFonts w:cs="Arial"/>
          <w:bCs/>
        </w:rPr>
        <w:t>suggests</w:t>
      </w:r>
      <w:r w:rsidR="00F81909">
        <w:rPr>
          <w:rFonts w:cs="Arial"/>
          <w:bCs/>
        </w:rPr>
        <w:t xml:space="preserve"> the following definitions </w:t>
      </w:r>
      <w:r>
        <w:rPr>
          <w:rFonts w:cs="Arial"/>
          <w:bCs/>
        </w:rPr>
        <w:t>for distinguishing</w:t>
      </w:r>
      <w:r w:rsidR="008343FB">
        <w:rPr>
          <w:rFonts w:cs="Arial"/>
          <w:bCs/>
        </w:rPr>
        <w:t xml:space="preserve"> between</w:t>
      </w:r>
      <w:r w:rsidR="009B7BD9">
        <w:rPr>
          <w:rFonts w:cs="Arial"/>
          <w:bCs/>
        </w:rPr>
        <w:t xml:space="preserve"> them</w:t>
      </w:r>
      <w:r>
        <w:rPr>
          <w:rFonts w:cs="Arial"/>
          <w:bCs/>
        </w:rPr>
        <w:t>.</w:t>
      </w:r>
    </w:p>
    <w:p w14:paraId="45E9E381" w14:textId="369E3832" w:rsidR="00B250ED" w:rsidRPr="00B250ED" w:rsidRDefault="00B250ED" w:rsidP="00377691">
      <w:pPr>
        <w:rPr>
          <w:rFonts w:cs="Arial"/>
          <w:b/>
          <w:bCs/>
        </w:rPr>
      </w:pPr>
      <w:r w:rsidRPr="00B250ED">
        <w:rPr>
          <w:rFonts w:cs="Arial"/>
          <w:b/>
          <w:bCs/>
        </w:rPr>
        <w:t>Service Animals</w:t>
      </w:r>
    </w:p>
    <w:p w14:paraId="74F0A748" w14:textId="7C88F9C1" w:rsidR="00BC43BB" w:rsidRDefault="007418D4" w:rsidP="00377691">
      <w:r>
        <w:rPr>
          <w:rFonts w:cs="Arial"/>
          <w:bCs/>
        </w:rPr>
        <w:t>S</w:t>
      </w:r>
      <w:r w:rsidR="007C0D21" w:rsidRPr="00377691">
        <w:rPr>
          <w:rFonts w:cs="Arial"/>
          <w:bCs/>
        </w:rPr>
        <w:t>ervice animals</w:t>
      </w:r>
      <w:r w:rsidR="00F9029A">
        <w:rPr>
          <w:rFonts w:cs="Arial"/>
          <w:bCs/>
        </w:rPr>
        <w:t xml:space="preserve"> </w:t>
      </w:r>
      <w:r w:rsidR="00F81909">
        <w:rPr>
          <w:rFonts w:cs="Arial"/>
          <w:bCs/>
        </w:rPr>
        <w:t xml:space="preserve">are </w:t>
      </w:r>
      <w:r w:rsidR="00F9029A">
        <w:rPr>
          <w:rFonts w:cs="Arial"/>
          <w:bCs/>
        </w:rPr>
        <w:t>essential in assisting</w:t>
      </w:r>
      <w:r w:rsidR="007C0D21" w:rsidRPr="00377691">
        <w:rPr>
          <w:rFonts w:cs="Arial"/>
        </w:rPr>
        <w:t xml:space="preserve"> many people </w:t>
      </w:r>
      <w:r w:rsidR="007C0D21" w:rsidRPr="00377691">
        <w:rPr>
          <w:rFonts w:cs="Arial"/>
          <w:bCs/>
        </w:rPr>
        <w:t xml:space="preserve">with disabilities to fully participate in everyday life. </w:t>
      </w:r>
      <w:r w:rsidR="00F75689" w:rsidRPr="00377691">
        <w:t xml:space="preserve">Individuals with disabilities may use service animals for a variety of reasons. </w:t>
      </w:r>
      <w:r w:rsidR="006A4B0A" w:rsidRPr="00377691">
        <w:t xml:space="preserve"> </w:t>
      </w:r>
      <w:r w:rsidR="00C40A21">
        <w:t>E</w:t>
      </w:r>
      <w:r w:rsidR="00850578" w:rsidRPr="00377691">
        <w:t>xamples</w:t>
      </w:r>
      <w:r w:rsidR="00CB17D0">
        <w:t xml:space="preserve"> of work or tasks</w:t>
      </w:r>
      <w:r w:rsidR="00F9029A">
        <w:t xml:space="preserve"> performed by service animals</w:t>
      </w:r>
      <w:r w:rsidR="00CB17D0">
        <w:t xml:space="preserve"> </w:t>
      </w:r>
      <w:r w:rsidR="00392493">
        <w:t xml:space="preserve">may </w:t>
      </w:r>
      <w:r w:rsidR="00CB17D0">
        <w:t>include</w:t>
      </w:r>
      <w:r w:rsidR="00CB17D0">
        <w:rPr>
          <w:color w:val="000000"/>
        </w:rPr>
        <w:t>, assisting individuals who are blind or have low vision with navigation and other tasks, alerting individuals who are deaf or hard of hearing to the presence of people or sounds, pulling a wheelchair, assisting an individual during a seizure, retrieving items such as medicine or the telephone, and helping persons with psychiatric and neurological disabilities by preventing or interrupting impulsive or destructive behaviors.</w:t>
      </w:r>
      <w:r w:rsidR="00CB17D0">
        <w:rPr>
          <w:rStyle w:val="EndnoteReference"/>
        </w:rPr>
        <w:endnoteReference w:id="1"/>
      </w:r>
      <w:r w:rsidR="00CB17D0">
        <w:t xml:space="preserve"> </w:t>
      </w:r>
      <w:r w:rsidR="0085321D" w:rsidRPr="00377691">
        <w:t>In general, service animals are allowed in public places.</w:t>
      </w:r>
    </w:p>
    <w:p w14:paraId="4F4E6506" w14:textId="4FFB18F6" w:rsidR="00C40A21" w:rsidRPr="00BC43BB" w:rsidRDefault="00BC43BB" w:rsidP="00377691">
      <w:r w:rsidRPr="00BC43BB">
        <w:rPr>
          <w:rFonts w:cs="Arial"/>
          <w:bCs/>
        </w:rPr>
        <w:t xml:space="preserve">As will be explained </w:t>
      </w:r>
      <w:r w:rsidR="00F81909">
        <w:rPr>
          <w:rFonts w:cs="Arial"/>
          <w:bCs/>
        </w:rPr>
        <w:t>later</w:t>
      </w:r>
      <w:r w:rsidRPr="00BC43BB">
        <w:rPr>
          <w:rFonts w:cs="Arial"/>
          <w:bCs/>
        </w:rPr>
        <w:t xml:space="preserve">, various federal and state laws provide different definitions for “service animals.”  Some laws limit the definition to dogs that are individually trained to do work or perform tasks for the benefit of an </w:t>
      </w:r>
      <w:r w:rsidRPr="00BC43BB">
        <w:rPr>
          <w:rFonts w:cs="Arial"/>
          <w:bCs/>
        </w:rPr>
        <w:lastRenderedPageBreak/>
        <w:t>individual with a disability.</w:t>
      </w:r>
      <w:r w:rsidRPr="00BC43BB">
        <w:rPr>
          <w:rStyle w:val="EndnoteReference"/>
          <w:rFonts w:cs="Arial"/>
          <w:bCs/>
        </w:rPr>
        <w:endnoteReference w:id="2"/>
      </w:r>
      <w:r w:rsidRPr="00BC43BB">
        <w:rPr>
          <w:rFonts w:cs="Arial"/>
          <w:bCs/>
        </w:rPr>
        <w:t xml:space="preserve">  Other laws are not necessarily limited to dogs.</w:t>
      </w:r>
      <w:r w:rsidRPr="00BC43BB">
        <w:rPr>
          <w:rStyle w:val="EndnoteReference"/>
          <w:rFonts w:cs="Arial"/>
          <w:bCs/>
        </w:rPr>
        <w:endnoteReference w:id="3"/>
      </w:r>
      <w:r w:rsidRPr="00BC43BB">
        <w:rPr>
          <w:rFonts w:cs="Arial"/>
          <w:bCs/>
        </w:rPr>
        <w:t xml:space="preserve">  It is important to know which definition will apply in any particular scenario.</w:t>
      </w:r>
      <w:r w:rsidR="0085321D" w:rsidRPr="00BC43BB">
        <w:t xml:space="preserve"> </w:t>
      </w:r>
    </w:p>
    <w:p w14:paraId="064AB7C3" w14:textId="17C0F354" w:rsidR="00B250ED" w:rsidRPr="00B250ED" w:rsidRDefault="00B250ED" w:rsidP="00377691">
      <w:r w:rsidRPr="00B250ED">
        <w:rPr>
          <w:b/>
        </w:rPr>
        <w:t>Assistance Animals</w:t>
      </w:r>
    </w:p>
    <w:p w14:paraId="58C6D182" w14:textId="2CB6DF44" w:rsidR="00B250ED" w:rsidRDefault="001464E4" w:rsidP="00B250ED">
      <w:r>
        <w:t>Assistance animals are also commonly</w:t>
      </w:r>
      <w:r w:rsidR="00F81909">
        <w:t xml:space="preserve"> referred to as “emotional support animals” or “comfort animals.”  </w:t>
      </w:r>
      <w:r w:rsidR="00BC43BB" w:rsidRPr="00BC43BB">
        <w:t>Though some laws</w:t>
      </w:r>
      <w:r w:rsidR="00BC43BB" w:rsidRPr="00BC43BB">
        <w:rPr>
          <w:rStyle w:val="EndnoteReference"/>
        </w:rPr>
        <w:endnoteReference w:id="4"/>
      </w:r>
      <w:r w:rsidR="00BC43BB" w:rsidRPr="00BC43BB">
        <w:t xml:space="preserve"> conflate the terms</w:t>
      </w:r>
      <w:r w:rsidR="00BC43BB">
        <w:t xml:space="preserve"> “service animal” and “assistance animal</w:t>
      </w:r>
      <w:r w:rsidR="00BC43BB" w:rsidRPr="00BC43BB">
        <w:t xml:space="preserve">,” they </w:t>
      </w:r>
      <w:r w:rsidR="00F81909">
        <w:t xml:space="preserve">should </w:t>
      </w:r>
      <w:r w:rsidR="00BC43BB" w:rsidRPr="00BC43BB">
        <w:t xml:space="preserve">be </w:t>
      </w:r>
      <w:r w:rsidR="00F81909">
        <w:t xml:space="preserve">considered as </w:t>
      </w:r>
      <w:r w:rsidR="00BC43BB" w:rsidRPr="00BC43BB">
        <w:t xml:space="preserve">two separate categories of animals. </w:t>
      </w:r>
      <w:r w:rsidR="00BC43BB">
        <w:t xml:space="preserve"> </w:t>
      </w:r>
      <w:r w:rsidR="00BC43BB" w:rsidRPr="00BC43BB">
        <w:t xml:space="preserve">Assistance animals </w:t>
      </w:r>
      <w:r w:rsidR="00F81909">
        <w:t xml:space="preserve">may </w:t>
      </w:r>
      <w:r w:rsidR="00BC43BB" w:rsidRPr="00BC43BB">
        <w:t xml:space="preserve">not always enjoy the same level of legal protection as service animals. </w:t>
      </w:r>
      <w:r w:rsidR="00BC43BB">
        <w:t xml:space="preserve"> </w:t>
      </w:r>
    </w:p>
    <w:p w14:paraId="212AD258" w14:textId="7E9FFEB4" w:rsidR="00B250ED" w:rsidRDefault="00BC43BB" w:rsidP="00B250ED">
      <w:pPr>
        <w:rPr>
          <w:rFonts w:cs="Arial"/>
          <w:color w:val="333333"/>
          <w:shd w:val="clear" w:color="auto" w:fill="FFFFFF"/>
        </w:rPr>
      </w:pPr>
      <w:r>
        <w:t>An assistance animal</w:t>
      </w:r>
      <w:r w:rsidR="009D65B9">
        <w:t xml:space="preserve"> </w:t>
      </w:r>
      <w:r>
        <w:t>functions as a</w:t>
      </w:r>
      <w:r w:rsidR="0085321D" w:rsidRPr="002F3E8B">
        <w:t xml:space="preserve"> companion </w:t>
      </w:r>
      <w:r w:rsidR="00704FA0">
        <w:t xml:space="preserve">which </w:t>
      </w:r>
      <w:r w:rsidR="0085321D" w:rsidRPr="002F3E8B">
        <w:t>provide</w:t>
      </w:r>
      <w:r>
        <w:t>s</w:t>
      </w:r>
      <w:r w:rsidR="0085321D" w:rsidRPr="002F3E8B">
        <w:t xml:space="preserve"> comfort and emotional support</w:t>
      </w:r>
      <w:r w:rsidR="00704FA0">
        <w:t xml:space="preserve"> to </w:t>
      </w:r>
      <w:r w:rsidR="00F81909">
        <w:t>its</w:t>
      </w:r>
      <w:r w:rsidR="00704FA0">
        <w:t xml:space="preserve"> handler</w:t>
      </w:r>
      <w:r w:rsidR="007A7E54">
        <w:t xml:space="preserve">. </w:t>
      </w:r>
      <w:r w:rsidR="00407933">
        <w:t xml:space="preserve"> </w:t>
      </w:r>
      <w:r w:rsidR="00B250ED">
        <w:t>Assistance a</w:t>
      </w:r>
      <w:r w:rsidR="00B250ED" w:rsidRPr="002F3E8B">
        <w:t>nimals are often used as part of a medical treatment plan</w:t>
      </w:r>
      <w:r w:rsidR="00B250ED">
        <w:t>, and may help individuals</w:t>
      </w:r>
      <w:r w:rsidR="00B250ED" w:rsidRPr="00377691">
        <w:t xml:space="preserve"> with depression, anxiety</w:t>
      </w:r>
      <w:r w:rsidR="00F81909">
        <w:t>,</w:t>
      </w:r>
      <w:r w:rsidR="00B250ED" w:rsidRPr="00377691">
        <w:t xml:space="preserve"> or certain phobias</w:t>
      </w:r>
      <w:r w:rsidR="00B250ED">
        <w:t>.  They may also</w:t>
      </w:r>
      <w:r w:rsidR="00B250ED" w:rsidRPr="00377691">
        <w:t xml:space="preserve"> be used in clinical settings to improve social, emotional</w:t>
      </w:r>
      <w:r w:rsidR="00F81909">
        <w:t>,</w:t>
      </w:r>
      <w:r w:rsidR="00B250ED" w:rsidRPr="00377691">
        <w:t xml:space="preserve"> or cognitive functioning.</w:t>
      </w:r>
      <w:r w:rsidR="00B250ED">
        <w:t xml:space="preserve"> </w:t>
      </w:r>
    </w:p>
    <w:p w14:paraId="6744E8CF" w14:textId="77777777" w:rsidR="0085321D" w:rsidRPr="00BA6695" w:rsidRDefault="0085321D" w:rsidP="004D2A5D">
      <w:pPr>
        <w:pStyle w:val="Heading1"/>
        <w:rPr>
          <w:u w:val="single"/>
        </w:rPr>
      </w:pPr>
      <w:bookmarkStart w:id="3" w:name="_Toc4505512"/>
      <w:r w:rsidRPr="00BA6695">
        <w:rPr>
          <w:u w:val="single"/>
        </w:rPr>
        <w:t>Service Animal Laws</w:t>
      </w:r>
      <w:bookmarkEnd w:id="3"/>
    </w:p>
    <w:p w14:paraId="59A4495B" w14:textId="77777777" w:rsidR="00407933" w:rsidRPr="00BA6695" w:rsidRDefault="00407933" w:rsidP="00407933">
      <w:pPr>
        <w:spacing w:before="100" w:beforeAutospacing="1" w:after="120" w:line="240" w:lineRule="auto"/>
        <w:outlineLvl w:val="1"/>
        <w:rPr>
          <w:rFonts w:eastAsia="Times New Roman" w:cs="Times New Roman"/>
          <w:b/>
          <w:bCs/>
          <w:sz w:val="28"/>
          <w:szCs w:val="36"/>
        </w:rPr>
      </w:pPr>
      <w:bookmarkStart w:id="4" w:name="_Toc4505513"/>
      <w:r w:rsidRPr="00BA6695">
        <w:rPr>
          <w:rFonts w:eastAsia="Times New Roman" w:cs="Times New Roman"/>
          <w:b/>
          <w:bCs/>
          <w:sz w:val="28"/>
          <w:szCs w:val="36"/>
        </w:rPr>
        <w:t>Federal Law</w:t>
      </w:r>
      <w:bookmarkEnd w:id="4"/>
    </w:p>
    <w:p w14:paraId="0E9F0114" w14:textId="77777777" w:rsidR="00407933" w:rsidRPr="00B250ED" w:rsidRDefault="00407933" w:rsidP="00B250ED">
      <w:pPr>
        <w:pStyle w:val="Heading2"/>
      </w:pPr>
      <w:bookmarkStart w:id="5" w:name="_Toc4505514"/>
      <w:r w:rsidRPr="00B250ED">
        <w:t>States may not establish laws regarding service animals or assistance animals that contradict federal law. The following sections describe federal laws regarding service and/or assistance animals:</w:t>
      </w:r>
      <w:bookmarkEnd w:id="5"/>
    </w:p>
    <w:p w14:paraId="04F907A7" w14:textId="77777777" w:rsidR="00407933" w:rsidRPr="00BA6695" w:rsidRDefault="00407933" w:rsidP="00407933">
      <w:pPr>
        <w:spacing w:before="100" w:beforeAutospacing="1" w:after="120" w:line="240" w:lineRule="auto"/>
        <w:outlineLvl w:val="1"/>
        <w:rPr>
          <w:rFonts w:eastAsia="Times New Roman" w:cs="Times New Roman"/>
          <w:bCs/>
          <w:sz w:val="28"/>
          <w:szCs w:val="36"/>
          <w:u w:val="single"/>
        </w:rPr>
      </w:pPr>
      <w:bookmarkStart w:id="6" w:name="_Toc4505515"/>
      <w:r w:rsidRPr="00BA6695">
        <w:rPr>
          <w:rFonts w:eastAsia="Times New Roman" w:cs="Times New Roman"/>
          <w:bCs/>
          <w:sz w:val="28"/>
          <w:szCs w:val="36"/>
          <w:u w:val="single"/>
        </w:rPr>
        <w:t>Americans with Disabilitie</w:t>
      </w:r>
      <w:r w:rsidR="00BA6695" w:rsidRPr="00BA6695">
        <w:rPr>
          <w:rFonts w:eastAsia="Times New Roman" w:cs="Times New Roman"/>
          <w:bCs/>
          <w:sz w:val="28"/>
          <w:szCs w:val="36"/>
          <w:u w:val="single"/>
        </w:rPr>
        <w:t>s Act (ADA) Title I</w:t>
      </w:r>
      <w:bookmarkEnd w:id="6"/>
      <w:r w:rsidRPr="00BA6695">
        <w:rPr>
          <w:rFonts w:eastAsia="Times New Roman" w:cs="Times New Roman"/>
          <w:bCs/>
          <w:sz w:val="28"/>
          <w:szCs w:val="36"/>
          <w:u w:val="single"/>
        </w:rPr>
        <w:t xml:space="preserve"> </w:t>
      </w:r>
    </w:p>
    <w:p w14:paraId="60A74BA9" w14:textId="06BA9DA9" w:rsidR="00407933" w:rsidRPr="00407933" w:rsidRDefault="00407933" w:rsidP="00407933">
      <w:r w:rsidRPr="00407933">
        <w:t>Title I of the ADA</w:t>
      </w:r>
      <w:r w:rsidRPr="00407933">
        <w:rPr>
          <w:vertAlign w:val="superscript"/>
        </w:rPr>
        <w:endnoteReference w:id="5"/>
      </w:r>
      <w:r w:rsidR="003D4178">
        <w:t xml:space="preserve"> prohibits private employers, s</w:t>
      </w:r>
      <w:r w:rsidRPr="00407933">
        <w:t xml:space="preserve">tate and local governments, employment agencies and labor unions from discriminating against qualified individuals with disabilities in job application procedures, hiring, firing, advancement, compensation, job training, and other terms, conditions, and privileges of employment.  And under the law, an employer may </w:t>
      </w:r>
      <w:r w:rsidR="001E4F52">
        <w:t xml:space="preserve">be </w:t>
      </w:r>
      <w:r w:rsidRPr="00407933">
        <w:t>engag</w:t>
      </w:r>
      <w:r w:rsidR="001E4F52">
        <w:t>ing</w:t>
      </w:r>
      <w:r w:rsidRPr="00407933">
        <w:t xml:space="preserve"> in unlawful discrimination by not making reasonable accommodations to the known physical or mental limitations of an otherwise qualified individual with a disability. </w:t>
      </w:r>
    </w:p>
    <w:p w14:paraId="0D0E82DE" w14:textId="403F126B" w:rsidR="00407933" w:rsidRPr="00407933" w:rsidRDefault="00407933" w:rsidP="00407933">
      <w:r w:rsidRPr="00407933">
        <w:t>Title I of the ADA does not define or expressly address service or assistance animals, but if an employer has a no-animal policy, a request to bring a service</w:t>
      </w:r>
      <w:r w:rsidR="00592D29">
        <w:t xml:space="preserve"> or assistance</w:t>
      </w:r>
      <w:r w:rsidRPr="00407933">
        <w:t xml:space="preserve"> animal to work may be treated as a request for a reasonable accommodation under the ADA.</w:t>
      </w:r>
      <w:r w:rsidRPr="00407933">
        <w:rPr>
          <w:rFonts w:cs="Arial"/>
          <w:szCs w:val="24"/>
          <w:shd w:val="clear" w:color="auto" w:fill="FFFFFF"/>
          <w:vertAlign w:val="superscript"/>
        </w:rPr>
        <w:endnoteReference w:id="6"/>
      </w:r>
      <w:r w:rsidRPr="00407933">
        <w:t xml:space="preserve">  However, while the employer is required to consider the request, it is not automatically required to grant the request.</w:t>
      </w:r>
      <w:r w:rsidRPr="00407933">
        <w:rPr>
          <w:vertAlign w:val="superscript"/>
        </w:rPr>
        <w:endnoteReference w:id="7"/>
      </w:r>
      <w:r w:rsidRPr="00407933">
        <w:t xml:space="preserve">  The employer may generally deny such a request if the animal is not needed because of a disability or if it disrupts the workplace.  When an employee or prospective employee requests to use a service</w:t>
      </w:r>
      <w:r w:rsidR="00592D29">
        <w:t xml:space="preserve"> or assistance</w:t>
      </w:r>
      <w:r w:rsidRPr="00407933">
        <w:t xml:space="preserve"> </w:t>
      </w:r>
      <w:r w:rsidRPr="00407933">
        <w:lastRenderedPageBreak/>
        <w:t>animal at work, the employer usually may request documentation or demonstra</w:t>
      </w:r>
      <w:r w:rsidR="00592D29">
        <w:t xml:space="preserve">tion </w:t>
      </w:r>
      <w:r w:rsidR="00E111DA">
        <w:t>showing</w:t>
      </w:r>
      <w:r w:rsidR="00592D29">
        <w:t xml:space="preserve"> the need for the animal and that the</w:t>
      </w:r>
      <w:r w:rsidRPr="00407933">
        <w:t xml:space="preserve"> animal is appropriately trained and will not disrupt the workplace.</w:t>
      </w:r>
    </w:p>
    <w:p w14:paraId="00BF246B" w14:textId="77777777" w:rsidR="00407933" w:rsidRDefault="00407933" w:rsidP="00407933">
      <w:pPr>
        <w:rPr>
          <w:shd w:val="clear" w:color="auto" w:fill="FFFFFF"/>
        </w:rPr>
      </w:pPr>
      <w:r w:rsidRPr="00407933">
        <w:rPr>
          <w:shd w:val="clear" w:color="auto" w:fill="FFFFFF"/>
        </w:rPr>
        <w:t>The Equal Employme</w:t>
      </w:r>
      <w:r w:rsidR="003D4178">
        <w:rPr>
          <w:shd w:val="clear" w:color="auto" w:fill="FFFFFF"/>
        </w:rPr>
        <w:t>nt Opportunity Commission (EEOC)</w:t>
      </w:r>
      <w:r w:rsidRPr="00407933">
        <w:rPr>
          <w:shd w:val="clear" w:color="auto" w:fill="FFFFFF"/>
        </w:rPr>
        <w:t xml:space="preserve"> is responsible for enforcing Title I of the ADA</w:t>
      </w:r>
      <w:r w:rsidR="003D4178">
        <w:rPr>
          <w:shd w:val="clear" w:color="auto" w:fill="FFFFFF"/>
        </w:rPr>
        <w:t xml:space="preserve"> through a complaint driven process</w:t>
      </w:r>
      <w:r w:rsidRPr="00407933">
        <w:rPr>
          <w:shd w:val="clear" w:color="auto" w:fill="FFFFFF"/>
        </w:rPr>
        <w:t xml:space="preserve">. </w:t>
      </w:r>
      <w:r w:rsidR="003D4178">
        <w:rPr>
          <w:shd w:val="clear" w:color="auto" w:fill="FFFFFF"/>
        </w:rPr>
        <w:t xml:space="preserve"> A</w:t>
      </w:r>
      <w:r w:rsidRPr="00407933">
        <w:rPr>
          <w:shd w:val="clear" w:color="auto" w:fill="FFFFFF"/>
        </w:rPr>
        <w:t xml:space="preserve"> complainant may also be entitled to file a civil lawsuit over an alleged violation.</w:t>
      </w:r>
    </w:p>
    <w:p w14:paraId="3FE4BEF7" w14:textId="7AF2C2EA" w:rsidR="008B7E89" w:rsidRDefault="008B7E89" w:rsidP="00407933">
      <w:pPr>
        <w:rPr>
          <w:shd w:val="clear" w:color="auto" w:fill="FFFFFF"/>
        </w:rPr>
      </w:pPr>
    </w:p>
    <w:p w14:paraId="457ED602" w14:textId="77777777" w:rsidR="008B7E89" w:rsidRPr="00BA6695" w:rsidRDefault="008B7E89" w:rsidP="008B7E89">
      <w:pPr>
        <w:spacing w:before="100" w:beforeAutospacing="1" w:after="120" w:line="240" w:lineRule="auto"/>
        <w:outlineLvl w:val="1"/>
        <w:rPr>
          <w:rFonts w:eastAsia="Times New Roman" w:cs="Times New Roman"/>
          <w:bCs/>
          <w:sz w:val="28"/>
          <w:szCs w:val="36"/>
          <w:u w:val="single"/>
        </w:rPr>
      </w:pPr>
      <w:bookmarkStart w:id="7" w:name="_Toc4505516"/>
      <w:r w:rsidRPr="00BA6695">
        <w:rPr>
          <w:rFonts w:eastAsia="Times New Roman" w:cs="Times New Roman"/>
          <w:bCs/>
          <w:sz w:val="28"/>
          <w:szCs w:val="36"/>
          <w:u w:val="single"/>
        </w:rPr>
        <w:t>ADA Titles II and III</w:t>
      </w:r>
      <w:bookmarkEnd w:id="7"/>
    </w:p>
    <w:p w14:paraId="2DE4EC96" w14:textId="77777777" w:rsidR="008B7E89" w:rsidRPr="008B7E89" w:rsidRDefault="008B7E89" w:rsidP="008B7E89">
      <w:r w:rsidRPr="008B7E89">
        <w:t>Title II of the ADA protects qualified individuals with disabilities from discrimination on the basis of disability in services, progra</w:t>
      </w:r>
      <w:r>
        <w:t>ms, and activities provided by s</w:t>
      </w:r>
      <w:r w:rsidRPr="008B7E89">
        <w:t>tate and local government entities, while Title III prohibits discrimination on the basis of disability in the activities of places of public accommodations (businesses that are generally open to the public and that fall into one of 12 categories listed in the ADA, such as restaurants, movie theaters, schools, day care facilities, recreation facilities, and doctors' offices).</w:t>
      </w:r>
      <w:r w:rsidRPr="008B7E89">
        <w:rPr>
          <w:vertAlign w:val="superscript"/>
        </w:rPr>
        <w:endnoteReference w:id="8"/>
      </w:r>
      <w:r w:rsidRPr="008B7E89">
        <w:t xml:space="preserve">  </w:t>
      </w:r>
    </w:p>
    <w:p w14:paraId="4254F283" w14:textId="77777777" w:rsidR="008B7E89" w:rsidRPr="008B7E89" w:rsidRDefault="008B7E89" w:rsidP="008B7E89">
      <w:r w:rsidRPr="008B7E89">
        <w:t>For purposes of Titles II and III of the ADA, service animals are defined as dogs that are individually trained to do work or perform tasks for people with disabilities.</w:t>
      </w:r>
      <w:r w:rsidRPr="008B7E89">
        <w:rPr>
          <w:vertAlign w:val="superscript"/>
        </w:rPr>
        <w:endnoteReference w:id="9"/>
      </w:r>
      <w:r w:rsidRPr="008B7E89">
        <w:t xml:space="preserve">  The work or tasks performed by a service animal must be directly related to the individual's disability.  The ADA does not restrict the type of dog breeds that can be service animals.  </w:t>
      </w:r>
    </w:p>
    <w:p w14:paraId="4FE85206" w14:textId="77777777" w:rsidR="008B7E89" w:rsidRDefault="008B7E89" w:rsidP="008B7E89">
      <w:pPr>
        <w:rPr>
          <w:color w:val="000000"/>
          <w:shd w:val="clear" w:color="auto" w:fill="FFFFFF"/>
        </w:rPr>
      </w:pPr>
      <w:r w:rsidRPr="008B7E89">
        <w:t>U</w:t>
      </w:r>
      <w:r>
        <w:t>nder the ADA, s</w:t>
      </w:r>
      <w:r w:rsidRPr="008B7E89">
        <w:t>tate and local governments, businesses, and nonprofit organizations that serve the public generally must allow service animals to accompany people with disabilities in all areas of the facility where the public is normally allowed to go.  But service animals may be excluded if not</w:t>
      </w:r>
      <w:r w:rsidRPr="008B7E89">
        <w:rPr>
          <w:color w:val="000000"/>
          <w:shd w:val="clear" w:color="auto" w:fill="FFFFFF"/>
        </w:rPr>
        <w:t xml:space="preserve"> house broken </w:t>
      </w:r>
      <w:r>
        <w:rPr>
          <w:color w:val="000000"/>
          <w:shd w:val="clear" w:color="auto" w:fill="FFFFFF"/>
        </w:rPr>
        <w:t>or</w:t>
      </w:r>
      <w:r w:rsidRPr="008B7E89">
        <w:rPr>
          <w:color w:val="000000"/>
          <w:shd w:val="clear" w:color="auto" w:fill="FFFFFF"/>
        </w:rPr>
        <w:t xml:space="preserve"> under the handler’s control.</w:t>
      </w:r>
      <w:r w:rsidRPr="008B7E89">
        <w:rPr>
          <w:color w:val="000000"/>
          <w:shd w:val="clear" w:color="auto" w:fill="FFFFFF"/>
          <w:vertAlign w:val="superscript"/>
        </w:rPr>
        <w:endnoteReference w:id="10"/>
      </w:r>
    </w:p>
    <w:p w14:paraId="1E9F8021" w14:textId="77777777" w:rsidR="008B7E89" w:rsidRDefault="008B7E89" w:rsidP="008B7E89">
      <w:r w:rsidRPr="008B7E89">
        <w:t>Under Titles II and III of the ADA, a service animal handler generally may not be asked about the nature or extent of their disability or the qualifications or certifications of the animal, but may be asked two questions to determine whether the animal qualifies as a service animal</w:t>
      </w:r>
      <w:r w:rsidRPr="00344CEC">
        <w:t>:</w:t>
      </w:r>
    </w:p>
    <w:p w14:paraId="6803448F" w14:textId="77777777" w:rsidR="008B7E89" w:rsidRPr="001466F5" w:rsidRDefault="008B7E89" w:rsidP="008B7E89">
      <w:pPr>
        <w:pStyle w:val="ListParagraph"/>
        <w:numPr>
          <w:ilvl w:val="1"/>
          <w:numId w:val="19"/>
        </w:numPr>
        <w:tabs>
          <w:tab w:val="left" w:pos="720"/>
        </w:tabs>
        <w:ind w:left="630" w:hanging="180"/>
      </w:pPr>
      <w:r>
        <w:rPr>
          <w:color w:val="000000"/>
        </w:rPr>
        <w:t xml:space="preserve">Is the animal required because of a disability? </w:t>
      </w:r>
    </w:p>
    <w:p w14:paraId="606A023B" w14:textId="77777777" w:rsidR="008B7E89" w:rsidRPr="001466F5" w:rsidRDefault="008B7E89" w:rsidP="008B7E89">
      <w:pPr>
        <w:pStyle w:val="ListParagraph"/>
        <w:numPr>
          <w:ilvl w:val="1"/>
          <w:numId w:val="19"/>
        </w:numPr>
        <w:tabs>
          <w:tab w:val="left" w:pos="720"/>
        </w:tabs>
        <w:ind w:left="630" w:hanging="180"/>
      </w:pPr>
      <w:r>
        <w:rPr>
          <w:color w:val="000000"/>
        </w:rPr>
        <w:t xml:space="preserve"> What work or task has the</w:t>
      </w:r>
      <w:r w:rsidR="00911C2F">
        <w:rPr>
          <w:color w:val="000000"/>
        </w:rPr>
        <w:t xml:space="preserve"> animal been trained to perform?</w:t>
      </w:r>
      <w:r>
        <w:rPr>
          <w:rStyle w:val="EndnoteReference"/>
          <w:color w:val="000000"/>
        </w:rPr>
        <w:endnoteReference w:id="11"/>
      </w:r>
    </w:p>
    <w:p w14:paraId="5DE47AEE" w14:textId="77777777" w:rsidR="00911C2F" w:rsidRDefault="00911C2F" w:rsidP="00911C2F">
      <w:pPr>
        <w:ind w:right="-630"/>
        <w:rPr>
          <w:color w:val="000000"/>
        </w:rPr>
      </w:pPr>
      <w:r w:rsidRPr="00911C2F">
        <w:rPr>
          <w:shd w:val="clear" w:color="auto" w:fill="FFFFFF"/>
        </w:rPr>
        <w:t>An entity subject to Title II or III of the ADA (covered entity) cannot require proof that the animal in question has been certified, trained, or licensed as a service animal</w:t>
      </w:r>
      <w:r w:rsidRPr="003C1DB0">
        <w:rPr>
          <w:color w:val="000000"/>
          <w:shd w:val="clear" w:color="auto" w:fill="FFFFFF"/>
        </w:rPr>
        <w:t>.</w:t>
      </w:r>
      <w:r>
        <w:rPr>
          <w:rStyle w:val="EndnoteReference"/>
          <w:color w:val="000000"/>
          <w:shd w:val="clear" w:color="auto" w:fill="FFFFFF"/>
        </w:rPr>
        <w:endnoteReference w:id="12"/>
      </w:r>
      <w:r w:rsidRPr="003C1DB0">
        <w:rPr>
          <w:color w:val="000000"/>
          <w:shd w:val="clear" w:color="auto" w:fill="FFFFFF"/>
        </w:rPr>
        <w:t xml:space="preserve"> </w:t>
      </w:r>
      <w:r>
        <w:rPr>
          <w:color w:val="000000"/>
          <w:shd w:val="clear" w:color="auto" w:fill="FFFFFF"/>
        </w:rPr>
        <w:t xml:space="preserve"> </w:t>
      </w:r>
      <w:r w:rsidRPr="00911C2F">
        <w:t xml:space="preserve">Such an entity is also not permitted to ask or require an individual with </w:t>
      </w:r>
      <w:r w:rsidRPr="00911C2F">
        <w:lastRenderedPageBreak/>
        <w:t>a disability to pay a surcharge related to the animal, even if people accompanied by pets are required to pay fees, or to comply with other requirements generally not applicable to people without pets.  But if a covered entity normally charges individuals for the damage they cause, an individual with a disability may be charged for damage caused by his or her service animal.</w:t>
      </w:r>
      <w:r>
        <w:rPr>
          <w:rStyle w:val="EndnoteReference"/>
          <w:color w:val="000000"/>
        </w:rPr>
        <w:endnoteReference w:id="13"/>
      </w:r>
      <w:r w:rsidRPr="00651C6C">
        <w:t xml:space="preserve"> </w:t>
      </w:r>
      <w:r w:rsidRPr="00911C2F">
        <w:t>The handler is responsible for caring for and supervising the service animal, which includes toileting, feeding, and grooming and veterinary care. Covered entities are not obligated to supervise or otherwise care for a service animal.</w:t>
      </w:r>
      <w:r w:rsidRPr="00911C2F">
        <w:rPr>
          <w:rStyle w:val="EndnoteReference"/>
        </w:rPr>
        <w:endnoteReference w:id="14"/>
      </w:r>
    </w:p>
    <w:p w14:paraId="214CF313" w14:textId="77777777" w:rsidR="00911C2F" w:rsidRDefault="00911C2F" w:rsidP="00911C2F">
      <w:pPr>
        <w:ind w:right="-630"/>
        <w:rPr>
          <w:shd w:val="clear" w:color="auto" w:fill="FFFFFF"/>
        </w:rPr>
      </w:pPr>
      <w:r w:rsidRPr="00911C2F">
        <w:rPr>
          <w:shd w:val="clear" w:color="auto" w:fill="FFFFFF"/>
        </w:rPr>
        <w:t>The Department of Justice (DOJ) is responsible for enforcing Titles II and III of the ADA.  Complaints regarding a potential ADA violation may be directed to the DOJ, or the victim may file a civil lawsuit over an alleged violation.</w:t>
      </w:r>
      <w:r w:rsidRPr="00911C2F">
        <w:rPr>
          <w:rStyle w:val="EndnoteReference"/>
          <w:shd w:val="clear" w:color="auto" w:fill="FFFFFF"/>
        </w:rPr>
        <w:endnoteReference w:id="15"/>
      </w:r>
    </w:p>
    <w:p w14:paraId="2015E7FC" w14:textId="77777777" w:rsidR="00234D97" w:rsidRDefault="00234D97" w:rsidP="00911C2F">
      <w:pPr>
        <w:ind w:right="-630"/>
        <w:rPr>
          <w:shd w:val="clear" w:color="auto" w:fill="FFFFFF"/>
        </w:rPr>
      </w:pPr>
    </w:p>
    <w:p w14:paraId="03717E59" w14:textId="77777777" w:rsidR="00234D97" w:rsidRPr="00BA6695" w:rsidRDefault="00234D97" w:rsidP="00234D97">
      <w:pPr>
        <w:spacing w:before="100" w:beforeAutospacing="1" w:after="120" w:line="240" w:lineRule="auto"/>
        <w:outlineLvl w:val="1"/>
        <w:rPr>
          <w:rFonts w:eastAsia="Times New Roman" w:cs="Times New Roman"/>
          <w:bCs/>
          <w:sz w:val="28"/>
          <w:szCs w:val="36"/>
          <w:u w:val="single"/>
        </w:rPr>
      </w:pPr>
      <w:bookmarkStart w:id="8" w:name="_Toc4505517"/>
      <w:r w:rsidRPr="00BA6695">
        <w:rPr>
          <w:rFonts w:eastAsia="Times New Roman" w:cs="Times New Roman"/>
          <w:bCs/>
          <w:sz w:val="28"/>
          <w:szCs w:val="36"/>
          <w:u w:val="single"/>
        </w:rPr>
        <w:t>Fair Housing Act (FHA)</w:t>
      </w:r>
      <w:bookmarkEnd w:id="8"/>
    </w:p>
    <w:p w14:paraId="3408E0F8" w14:textId="460CC045" w:rsidR="00234D97" w:rsidRPr="00234D97" w:rsidRDefault="00234D97" w:rsidP="00234D97">
      <w:pPr>
        <w:rPr>
          <w:shd w:val="clear" w:color="auto" w:fill="FFFFFF"/>
        </w:rPr>
      </w:pPr>
      <w:r w:rsidRPr="00234D97">
        <w:rPr>
          <w:shd w:val="clear" w:color="auto" w:fill="FFFFFF"/>
        </w:rPr>
        <w:t>The FHA prohibits discrimination on the basis of a mental or physical disability in various types of housing transactions, including the buying or renting of a home</w:t>
      </w:r>
      <w:r w:rsidR="00EE5F0E">
        <w:rPr>
          <w:shd w:val="clear" w:color="auto" w:fill="FFFFFF"/>
        </w:rPr>
        <w:t xml:space="preserve"> or apartment</w:t>
      </w:r>
      <w:r w:rsidRPr="00234D97">
        <w:rPr>
          <w:shd w:val="clear" w:color="auto" w:fill="FFFFFF"/>
        </w:rPr>
        <w:t>.</w:t>
      </w:r>
      <w:r w:rsidRPr="00234D97">
        <w:rPr>
          <w:shd w:val="clear" w:color="auto" w:fill="FFFFFF"/>
          <w:vertAlign w:val="superscript"/>
        </w:rPr>
        <w:endnoteReference w:id="16"/>
      </w:r>
      <w:r w:rsidRPr="00234D97">
        <w:t xml:space="preserve">  </w:t>
      </w:r>
      <w:r w:rsidRPr="00234D97">
        <w:rPr>
          <w:shd w:val="clear" w:color="auto" w:fill="FFFFFF"/>
        </w:rPr>
        <w:t>One type of disability discrimination prohibited by the FHA is the refusal to make reasonable accommodations in rules, policies, practices, or services when such accommodations are necessary to afford a person with a disability the equal opportunity to use and enjoy a dwelling.</w:t>
      </w:r>
      <w:r w:rsidRPr="00234D97">
        <w:rPr>
          <w:shd w:val="clear" w:color="auto" w:fill="FFFFFF"/>
          <w:vertAlign w:val="superscript"/>
        </w:rPr>
        <w:endnoteReference w:id="17"/>
      </w:r>
      <w:r w:rsidRPr="00234D97">
        <w:rPr>
          <w:shd w:val="clear" w:color="auto" w:fill="FFFFFF"/>
        </w:rPr>
        <w:t xml:space="preserve">  The U.S. Department of Housing and Urban Development (HUD) and various courts have affirmed that housing providers must, as a reasonable accommodation, modify or make exceptions to a “no pets” policy for persons with disabilities who require service or assistance animals.</w:t>
      </w:r>
      <w:r w:rsidRPr="00234D97">
        <w:rPr>
          <w:shd w:val="clear" w:color="auto" w:fill="FFFFFF"/>
          <w:vertAlign w:val="superscript"/>
        </w:rPr>
        <w:endnoteReference w:id="18"/>
      </w:r>
      <w:r w:rsidRPr="00234D97">
        <w:rPr>
          <w:shd w:val="clear" w:color="auto" w:fill="FFFFFF"/>
        </w:rPr>
        <w:t xml:space="preserve">  </w:t>
      </w:r>
    </w:p>
    <w:p w14:paraId="53AB4C41" w14:textId="77777777" w:rsidR="00234D97" w:rsidRPr="00911C2F" w:rsidRDefault="00234D97" w:rsidP="00234D97">
      <w:pPr>
        <w:ind w:right="-630"/>
        <w:rPr>
          <w:shd w:val="clear" w:color="auto" w:fill="FFFFFF"/>
        </w:rPr>
      </w:pPr>
      <w:r w:rsidRPr="00234D97">
        <w:rPr>
          <w:shd w:val="clear" w:color="auto" w:fill="FFFFFF"/>
        </w:rPr>
        <w:t>HUD has stated that an assistance animal is “an animal that works, provides assistance, or performs tasks for the benefit of a person with a disability, or provides emotional support that alleviates one or more identified symptoms or effects of a person’s disability.”</w:t>
      </w:r>
      <w:r w:rsidRPr="00234D97">
        <w:rPr>
          <w:shd w:val="clear" w:color="auto" w:fill="FFFFFF"/>
          <w:vertAlign w:val="superscript"/>
        </w:rPr>
        <w:endnoteReference w:id="19"/>
      </w:r>
      <w:r w:rsidRPr="00234D97">
        <w:rPr>
          <w:shd w:val="clear" w:color="auto" w:fill="FFFFFF"/>
        </w:rPr>
        <w:t xml:space="preserve">  An assistance animal is not required to be individually trained or certified.</w:t>
      </w:r>
      <w:r w:rsidRPr="00234D97">
        <w:rPr>
          <w:shd w:val="clear" w:color="auto" w:fill="FFFFFF"/>
          <w:vertAlign w:val="superscript"/>
        </w:rPr>
        <w:endnoteReference w:id="20"/>
      </w:r>
      <w:r w:rsidRPr="00234D97">
        <w:rPr>
          <w:shd w:val="clear" w:color="auto" w:fill="FFFFFF"/>
        </w:rPr>
        <w:t xml:space="preserve">  An animal that does not qualify as a service animal under the ADA may still qualify as an assistance animal under the FHA.</w:t>
      </w:r>
      <w:r w:rsidRPr="00234D97">
        <w:rPr>
          <w:shd w:val="clear" w:color="auto" w:fill="FFFFFF"/>
          <w:vertAlign w:val="superscript"/>
        </w:rPr>
        <w:endnoteReference w:id="21"/>
      </w:r>
    </w:p>
    <w:p w14:paraId="6D99425C" w14:textId="77777777" w:rsidR="00B37A6A" w:rsidRPr="00B37A6A" w:rsidRDefault="00B37A6A" w:rsidP="00B37A6A">
      <w:r w:rsidRPr="00B37A6A">
        <w:t xml:space="preserve">If an individual requests a reasonable accommodation for a service or assistance animal, the housing provider must generally make the accommodation if the individual is disabled and has a disability-related need for the animal.  However, the request may be denied if: (1) it would impose an undue financial and administrative burden or would fundamentally alter the nature of the housing provider’s services; (2) the specific animal in question poses a direct threat to the health or safety of others that cannot be reduced or eliminated by another reasonable accommodation; or (3) the </w:t>
      </w:r>
      <w:r w:rsidRPr="00B37A6A">
        <w:lastRenderedPageBreak/>
        <w:t>specific animal in question would cause substantial physical damage to the property of others that cannot be reduced or eliminated by another reasonable accommodation.</w:t>
      </w:r>
      <w:r w:rsidRPr="00B37A6A">
        <w:rPr>
          <w:rStyle w:val="EndnoteReference"/>
        </w:rPr>
        <w:endnoteReference w:id="22"/>
      </w:r>
      <w:r w:rsidRPr="00B37A6A">
        <w:t xml:space="preserve">  Please note that under the FHA, breed, size, and weight limitations may not be applied to assistance animals.</w:t>
      </w:r>
      <w:r w:rsidRPr="00B37A6A">
        <w:rPr>
          <w:rStyle w:val="EndnoteReference"/>
        </w:rPr>
        <w:endnoteReference w:id="23"/>
      </w:r>
      <w:r w:rsidRPr="00B37A6A">
        <w:t xml:space="preserve"> </w:t>
      </w:r>
    </w:p>
    <w:p w14:paraId="2B93C114" w14:textId="77777777" w:rsidR="00911C2F" w:rsidRDefault="00B37A6A" w:rsidP="00B37A6A">
      <w:r w:rsidRPr="00B37A6A">
        <w:t>A housing provider may not deny a reasonable accommodation request because he or she is uncertain whether or not the person seeking the accommodation has a disability or a disability-related need for a service or assistance animal.</w:t>
      </w:r>
      <w:r w:rsidRPr="00B37A6A">
        <w:rPr>
          <w:rStyle w:val="EndnoteReference"/>
        </w:rPr>
        <w:endnoteReference w:id="24"/>
      </w:r>
      <w:r w:rsidRPr="00B37A6A">
        <w:t xml:space="preserve">  If the individual’s disability is not readily apparent, housing providers are permitted to ask the individual to provide reliable documentation of a disability and their need for a service or assistance animal.</w:t>
      </w:r>
      <w:r w:rsidRPr="00B37A6A">
        <w:rPr>
          <w:rStyle w:val="EndnoteReference"/>
        </w:rPr>
        <w:endnoteReference w:id="25"/>
      </w:r>
      <w:r w:rsidR="005E0D7A">
        <w:t xml:space="preserve">  A</w:t>
      </w:r>
      <w:r w:rsidRPr="00B37A6A">
        <w:t xml:space="preserve"> housing provider may generally require the individual to cover the costs of repairs for damage to the dwelling caused by the animal if it is the provider’s normal practice to assess tenants for any damages they cause to the premises.</w:t>
      </w:r>
      <w:r w:rsidRPr="00B37A6A">
        <w:rPr>
          <w:rStyle w:val="EndnoteReference"/>
        </w:rPr>
        <w:endnoteReference w:id="26"/>
      </w:r>
    </w:p>
    <w:p w14:paraId="5E62E744" w14:textId="77777777" w:rsidR="00B37A6A" w:rsidRDefault="00B37A6A" w:rsidP="00B37A6A">
      <w:r w:rsidRPr="00377691">
        <w:t>HUD</w:t>
      </w:r>
      <w:r>
        <w:t xml:space="preserve"> </w:t>
      </w:r>
      <w:r w:rsidRPr="00B37A6A">
        <w:t>and the Department of Justice are</w:t>
      </w:r>
      <w:r w:rsidRPr="00377691">
        <w:t xml:space="preserve"> responsible for</w:t>
      </w:r>
      <w:r>
        <w:t xml:space="preserve"> </w:t>
      </w:r>
      <w:r w:rsidRPr="00B37A6A">
        <w:t>enforcing the FHA</w:t>
      </w:r>
      <w:r w:rsidRPr="00377691">
        <w:t xml:space="preserve"> </w:t>
      </w:r>
      <w:r>
        <w:t xml:space="preserve">through </w:t>
      </w:r>
      <w:r w:rsidRPr="00377691">
        <w:t>a complaint driven process</w:t>
      </w:r>
      <w:r w:rsidRPr="00B37A6A">
        <w:t>.</w:t>
      </w:r>
      <w:r w:rsidRPr="00B37A6A">
        <w:rPr>
          <w:rStyle w:val="EndnoteReference"/>
        </w:rPr>
        <w:endnoteReference w:id="27"/>
      </w:r>
      <w:r w:rsidRPr="00377691">
        <w:t xml:space="preserve"> </w:t>
      </w:r>
      <w:r w:rsidRPr="00B37A6A">
        <w:t>Individuals who believe they have been victims of a discriminatory housing practice under the FHA may also file suit</w:t>
      </w:r>
      <w:r w:rsidRPr="00377691">
        <w:t xml:space="preserve"> in</w:t>
      </w:r>
      <w:r>
        <w:t xml:space="preserve"> a court of law.</w:t>
      </w:r>
      <w:r w:rsidRPr="00B37A6A">
        <w:rPr>
          <w:rStyle w:val="EndnoteReference"/>
        </w:rPr>
        <w:endnoteReference w:id="28"/>
      </w:r>
    </w:p>
    <w:p w14:paraId="134F1517" w14:textId="77777777" w:rsidR="005E0D7A" w:rsidRDefault="005E0D7A" w:rsidP="00B37A6A"/>
    <w:p w14:paraId="5BE8D0B8" w14:textId="77777777" w:rsidR="005E0D7A" w:rsidRPr="005E0D7A" w:rsidRDefault="005E0D7A" w:rsidP="005E0D7A">
      <w:pPr>
        <w:spacing w:before="100" w:beforeAutospacing="1" w:after="120" w:line="240" w:lineRule="auto"/>
        <w:outlineLvl w:val="1"/>
        <w:rPr>
          <w:rFonts w:eastAsia="Times New Roman" w:cs="Times New Roman"/>
          <w:bCs/>
          <w:sz w:val="28"/>
          <w:szCs w:val="36"/>
          <w:u w:val="single"/>
        </w:rPr>
      </w:pPr>
      <w:bookmarkStart w:id="9" w:name="_Toc4505518"/>
      <w:r w:rsidRPr="005E0D7A">
        <w:rPr>
          <w:rFonts w:eastAsia="Times New Roman" w:cs="Times New Roman"/>
          <w:bCs/>
          <w:sz w:val="28"/>
          <w:szCs w:val="36"/>
          <w:u w:val="single"/>
        </w:rPr>
        <w:t xml:space="preserve">Air Carriers Access Act </w:t>
      </w:r>
      <w:r w:rsidRPr="005E0D7A">
        <w:rPr>
          <w:rFonts w:eastAsia="Times New Roman" w:cs="Times New Roman"/>
          <w:bCs/>
          <w:sz w:val="28"/>
          <w:szCs w:val="36"/>
          <w:u w:val="single"/>
          <w:shd w:val="clear" w:color="auto" w:fill="FFFFFF"/>
        </w:rPr>
        <w:t>(ACAA)</w:t>
      </w:r>
      <w:bookmarkEnd w:id="9"/>
    </w:p>
    <w:p w14:paraId="0D9C19FC" w14:textId="77777777" w:rsidR="005E0D7A" w:rsidRPr="005E0D7A" w:rsidRDefault="005E0D7A" w:rsidP="005E0D7A">
      <w:pPr>
        <w:ind w:right="-270"/>
      </w:pPr>
      <w:r w:rsidRPr="005E0D7A">
        <w:rPr>
          <w:shd w:val="clear" w:color="auto" w:fill="FFFFFF"/>
        </w:rPr>
        <w:t>The ACAA generally prohibits discrimination by airlines against individuals with disabilities.</w:t>
      </w:r>
      <w:r w:rsidRPr="005E0D7A">
        <w:rPr>
          <w:shd w:val="clear" w:color="auto" w:fill="FFFFFF"/>
          <w:vertAlign w:val="superscript"/>
        </w:rPr>
        <w:endnoteReference w:id="29"/>
      </w:r>
      <w:r w:rsidRPr="005E0D7A">
        <w:t xml:space="preserve"> Under the ACAA, </w:t>
      </w:r>
      <w:r w:rsidRPr="005E0D7A">
        <w:rPr>
          <w:shd w:val="clear" w:color="auto" w:fill="FFFFFF"/>
        </w:rPr>
        <w:t>airlines must generally allow individuals with disabilities to travel with service animals in the cabin at no additional charge.</w:t>
      </w:r>
      <w:r w:rsidRPr="005E0D7A">
        <w:rPr>
          <w:shd w:val="clear" w:color="auto" w:fill="FFFFFF"/>
          <w:vertAlign w:val="superscript"/>
        </w:rPr>
        <w:endnoteReference w:id="30"/>
      </w:r>
      <w:r w:rsidRPr="005E0D7A">
        <w:t xml:space="preserve"> </w:t>
      </w:r>
    </w:p>
    <w:p w14:paraId="389D84AE" w14:textId="7958204A" w:rsidR="005E0D7A" w:rsidRPr="005E0D7A" w:rsidRDefault="005E0D7A" w:rsidP="005E0D7A">
      <w:pPr>
        <w:ind w:right="-270"/>
      </w:pPr>
      <w:r w:rsidRPr="005E0D7A">
        <w:t>Under the ACAA, a service animal is considered to be an animal that is individually trained to assist a person with a disability, or an animal that is necessary for the emotional well-being of a passenger.</w:t>
      </w:r>
      <w:r w:rsidRPr="005E0D7A">
        <w:rPr>
          <w:vertAlign w:val="superscript"/>
        </w:rPr>
        <w:endnoteReference w:id="31"/>
      </w:r>
      <w:r w:rsidRPr="005E0D7A">
        <w:t xml:space="preserve"> For purposes of the ACAA, a service animal designation is not limited to dogs, but airlines are never required to accept snakes, </w:t>
      </w:r>
      <w:r w:rsidR="0069481B">
        <w:t xml:space="preserve">other </w:t>
      </w:r>
      <w:r w:rsidRPr="005E0D7A">
        <w:t>reptiles, ferrets, rodents, and spiders.</w:t>
      </w:r>
      <w:r w:rsidRPr="005E0D7A">
        <w:rPr>
          <w:vertAlign w:val="superscript"/>
        </w:rPr>
        <w:endnoteReference w:id="32"/>
      </w:r>
      <w:r w:rsidRPr="005E0D7A">
        <w:t xml:space="preserve"> Airlines may also exclude animals that are too large or heavy to be accommodated in the cabin, pose a direct threat to the health or safety of others, cause a significant disruption of cabin service, or are prohibited from entering a foreign country</w:t>
      </w:r>
      <w:r w:rsidR="0069481B">
        <w:t xml:space="preserve"> that is the flight’s destination</w:t>
      </w:r>
      <w:r w:rsidRPr="005E0D7A">
        <w:t>.</w:t>
      </w:r>
      <w:r w:rsidRPr="005E0D7A">
        <w:rPr>
          <w:vertAlign w:val="superscript"/>
        </w:rPr>
        <w:endnoteReference w:id="33"/>
      </w:r>
      <w:r w:rsidRPr="005E0D7A">
        <w:t xml:space="preserve"> </w:t>
      </w:r>
      <w:r w:rsidR="00BF70CE">
        <w:t>F</w:t>
      </w:r>
      <w:r w:rsidRPr="005E0D7A">
        <w:t>oreign airlines are</w:t>
      </w:r>
      <w:r w:rsidR="00EE5F0E">
        <w:t xml:space="preserve"> only required to</w:t>
      </w:r>
      <w:r w:rsidRPr="005E0D7A">
        <w:t xml:space="preserve"> transport dogs.</w:t>
      </w:r>
      <w:r w:rsidRPr="005E0D7A">
        <w:rPr>
          <w:vertAlign w:val="superscript"/>
        </w:rPr>
        <w:endnoteReference w:id="34"/>
      </w:r>
    </w:p>
    <w:p w14:paraId="0DF7E087" w14:textId="77777777" w:rsidR="005E0D7A" w:rsidRPr="005E0D7A" w:rsidRDefault="005E0D7A" w:rsidP="005E0D7A">
      <w:pPr>
        <w:ind w:right="-270"/>
        <w:rPr>
          <w:shd w:val="clear" w:color="auto" w:fill="FFFFFF"/>
        </w:rPr>
      </w:pPr>
      <w:r w:rsidRPr="005E0D7A">
        <w:rPr>
          <w:shd w:val="clear" w:color="auto" w:fill="FFFFFF"/>
        </w:rPr>
        <w:t>When determining whether an animal is a service animal or pet, the airline must accept identification cards, other written documentation, presence of harnesses or tags, or the credible verbal assurances of an individual with a disability using the animal.</w:t>
      </w:r>
      <w:r w:rsidRPr="005E0D7A">
        <w:rPr>
          <w:shd w:val="clear" w:color="auto" w:fill="FFFFFF"/>
          <w:vertAlign w:val="superscript"/>
        </w:rPr>
        <w:endnoteReference w:id="35"/>
      </w:r>
      <w:r w:rsidRPr="005E0D7A">
        <w:rPr>
          <w:shd w:val="clear" w:color="auto" w:fill="FFFFFF"/>
        </w:rPr>
        <w:t xml:space="preserve">  But if a passenger seeks to travel with an animal </w:t>
      </w:r>
      <w:r w:rsidRPr="005E0D7A">
        <w:rPr>
          <w:shd w:val="clear" w:color="auto" w:fill="FFFFFF"/>
        </w:rPr>
        <w:lastRenderedPageBreak/>
        <w:t>that is used as an emotional support animal, the airline is not required to accept the animal for transportation in the cabin unless the passenger provides current documentation on the letterhead of a licensed mental health professional evidencing the passenger’s need for the animal.</w:t>
      </w:r>
      <w:r w:rsidRPr="005E0D7A">
        <w:rPr>
          <w:shd w:val="clear" w:color="auto" w:fill="FFFFFF"/>
          <w:vertAlign w:val="superscript"/>
        </w:rPr>
        <w:endnoteReference w:id="36"/>
      </w:r>
    </w:p>
    <w:p w14:paraId="796D624C" w14:textId="77777777" w:rsidR="009F7671" w:rsidRDefault="005E0D7A" w:rsidP="005E0D7A">
      <w:pPr>
        <w:ind w:right="-270"/>
        <w:rPr>
          <w:shd w:val="clear" w:color="auto" w:fill="FFFFFF"/>
        </w:rPr>
      </w:pPr>
      <w:r w:rsidRPr="005E0D7A">
        <w:rPr>
          <w:shd w:val="clear" w:color="auto" w:fill="FFFFFF"/>
        </w:rPr>
        <w:t>The U.S. Department of Transportation</w:t>
      </w:r>
      <w:r w:rsidRPr="005E0D7A">
        <w:t xml:space="preserve">’s </w:t>
      </w:r>
      <w:r w:rsidRPr="005E0D7A">
        <w:rPr>
          <w:shd w:val="clear" w:color="auto" w:fill="FFFFFF"/>
        </w:rPr>
        <w:t>Aviation Consumer Protection Division is responsible for enforcing the ACAA through a complaint driven process.</w:t>
      </w:r>
      <w:r w:rsidRPr="005E0D7A">
        <w:rPr>
          <w:shd w:val="clear" w:color="auto" w:fill="FFFFFF"/>
          <w:vertAlign w:val="superscript"/>
        </w:rPr>
        <w:endnoteReference w:id="37"/>
      </w:r>
      <w:r w:rsidRPr="005E0D7A">
        <w:rPr>
          <w:shd w:val="clear" w:color="auto" w:fill="FFFFFF"/>
        </w:rPr>
        <w:t xml:space="preserve"> The ACAA does not, however, provide for a private right of action against an airline.</w:t>
      </w:r>
      <w:r w:rsidRPr="005E0D7A">
        <w:rPr>
          <w:shd w:val="clear" w:color="auto" w:fill="FFFFFF"/>
          <w:vertAlign w:val="superscript"/>
        </w:rPr>
        <w:endnoteReference w:id="38"/>
      </w:r>
    </w:p>
    <w:p w14:paraId="7460F3D8" w14:textId="77777777" w:rsidR="009F7671" w:rsidRPr="009F7671" w:rsidRDefault="009F7671" w:rsidP="009F7671">
      <w:pPr>
        <w:spacing w:before="100" w:beforeAutospacing="1" w:after="120" w:line="240" w:lineRule="auto"/>
        <w:outlineLvl w:val="1"/>
        <w:rPr>
          <w:rFonts w:eastAsia="Times New Roman" w:cs="Times New Roman"/>
          <w:b/>
          <w:bCs/>
          <w:sz w:val="28"/>
          <w:szCs w:val="36"/>
        </w:rPr>
      </w:pPr>
      <w:bookmarkStart w:id="10" w:name="_Toc4505519"/>
      <w:r w:rsidRPr="009F7671">
        <w:rPr>
          <w:rFonts w:eastAsia="Times New Roman" w:cs="Times New Roman"/>
          <w:b/>
          <w:bCs/>
          <w:sz w:val="28"/>
          <w:szCs w:val="36"/>
        </w:rPr>
        <w:t>Texas Law</w:t>
      </w:r>
      <w:bookmarkEnd w:id="10"/>
      <w:r w:rsidRPr="009F7671">
        <w:rPr>
          <w:rFonts w:eastAsia="Times New Roman" w:cs="Times New Roman"/>
          <w:b/>
          <w:bCs/>
          <w:sz w:val="28"/>
          <w:szCs w:val="36"/>
        </w:rPr>
        <w:t xml:space="preserve"> </w:t>
      </w:r>
    </w:p>
    <w:p w14:paraId="46779796" w14:textId="1F479B51" w:rsidR="009F7671" w:rsidRPr="009F7671" w:rsidRDefault="009F7671" w:rsidP="009F7671">
      <w:r w:rsidRPr="009F7671">
        <w:t>Texas law supplements the federal laws referenced above.  Under state law, no person with a disability may be denied admittance to a public facility because of the person’s disability.</w:t>
      </w:r>
      <w:r w:rsidRPr="009F7671">
        <w:rPr>
          <w:vertAlign w:val="superscript"/>
        </w:rPr>
        <w:endnoteReference w:id="39"/>
      </w:r>
      <w:r w:rsidRPr="009F7671">
        <w:t xml:space="preserve">  The law broadly defines “public facility” to include places such as a street, airplane, bus, hotel, public government building, retail business, college dormitory or other educational facility, and restaurant.</w:t>
      </w:r>
      <w:r w:rsidRPr="009F7671">
        <w:rPr>
          <w:vertAlign w:val="superscript"/>
        </w:rPr>
        <w:endnoteReference w:id="40"/>
      </w:r>
      <w:r w:rsidRPr="009F7671">
        <w:t xml:space="preserve"> </w:t>
      </w:r>
    </w:p>
    <w:p w14:paraId="74FF218B" w14:textId="367942E4" w:rsidR="009F7671" w:rsidRPr="009F7671" w:rsidRDefault="009F7671" w:rsidP="009F7671">
      <w:r w:rsidRPr="009F7671">
        <w:t>“Chapter 121 of the Texas Human Resources Code requires that persons with disabilities have the same right as the able-bodied to the full use and enjoyment of any public facility in the state, including the right to use [a service or] assistance animal[.]”</w:t>
      </w:r>
      <w:r w:rsidRPr="009F7671">
        <w:rPr>
          <w:vertAlign w:val="superscript"/>
        </w:rPr>
        <w:endnoteReference w:id="41"/>
      </w:r>
      <w:r w:rsidRPr="009F7671">
        <w:t xml:space="preserve">  State law defines both "assistance animal" and "service animal" to m</w:t>
      </w:r>
      <w:r>
        <w:t>ean a dog</w:t>
      </w:r>
      <w:r w:rsidRPr="009F7671">
        <w:t xml:space="preserve"> that is specially trained or equipped to help a person with a disability and that is used by a person with a disability.   By using the terms interchangeably, and by limiting the definition to dogs,</w:t>
      </w:r>
      <w:r>
        <w:t xml:space="preserve"> the law may cause</w:t>
      </w:r>
      <w:r w:rsidRPr="009F7671">
        <w:t xml:space="preserve"> confusion amongst the public</w:t>
      </w:r>
      <w:r w:rsidR="00134346">
        <w:t xml:space="preserve"> due to the differences from how those terms are used in various federal laws</w:t>
      </w:r>
      <w:r w:rsidRPr="009F7671">
        <w:t>.</w:t>
      </w:r>
    </w:p>
    <w:p w14:paraId="7AB6B958" w14:textId="77777777" w:rsidR="009F7671" w:rsidRPr="009F7671" w:rsidRDefault="009F7671" w:rsidP="009F7671">
      <w:r w:rsidRPr="009F7671">
        <w:t>Chapter 121 encompasses many of the same requirements and prohibitions found in the ADA and ACAA, but in some instances, state law goes further.  For example, chapter 121 provides that a service animal in training may not be denied admittance to any public facility when accompanied by an approved trainer.</w:t>
      </w:r>
      <w:r w:rsidRPr="009F7671">
        <w:rPr>
          <w:vertAlign w:val="superscript"/>
        </w:rPr>
        <w:endnoteReference w:id="42"/>
      </w:r>
      <w:r w:rsidRPr="009F7671">
        <w:t xml:space="preserve">  The relevant federal laws do not address the admittance of service animals during their training.  Also unlike federal law, the state expressly prohibits individuals from assaulting, harassing, interfering with, injuring, or killing a service or assistance animal.</w:t>
      </w:r>
      <w:r w:rsidRPr="009F7671">
        <w:rPr>
          <w:vertAlign w:val="superscript"/>
        </w:rPr>
        <w:endnoteReference w:id="43"/>
      </w:r>
      <w:r w:rsidRPr="009F7671">
        <w:t xml:space="preserve"> </w:t>
      </w:r>
    </w:p>
    <w:p w14:paraId="4EF15BE1" w14:textId="77777777" w:rsidR="009F7671" w:rsidRPr="009F7671" w:rsidRDefault="009F7671" w:rsidP="009F7671">
      <w:r w:rsidRPr="009F7671">
        <w:t>State law also addresses service and assistance animals in the context of housing accommodations.  Like the FHA, state law provides full and equal access to housing accommodations for a person with a disability who has a service animal.</w:t>
      </w:r>
      <w:r w:rsidRPr="009F7671">
        <w:rPr>
          <w:vertAlign w:val="superscript"/>
        </w:rPr>
        <w:endnoteReference w:id="44"/>
      </w:r>
      <w:r w:rsidRPr="009F7671">
        <w:t xml:space="preserve">  In the context of housing accommodations, individuals with disabilities may not be required to pay extra compensation or make a </w:t>
      </w:r>
      <w:r w:rsidRPr="009F7671">
        <w:lastRenderedPageBreak/>
        <w:t>deposit for a service animal, but are liable for damages done to the premises by the animal.</w:t>
      </w:r>
      <w:r w:rsidRPr="009F7671">
        <w:rPr>
          <w:vertAlign w:val="superscript"/>
        </w:rPr>
        <w:endnoteReference w:id="45"/>
      </w:r>
    </w:p>
    <w:p w14:paraId="1C5EAAC5" w14:textId="39E97150" w:rsidR="009F7671" w:rsidRPr="009F7671" w:rsidRDefault="009F7671" w:rsidP="009F7671">
      <w:r w:rsidRPr="009F7671">
        <w:t xml:space="preserve">Perhaps the biggest distinction between federal law and state law is in the means of their enforcement.  As explained above, the relevant federal laws are not criminal in nature.  Rather, violations </w:t>
      </w:r>
      <w:r w:rsidR="00B248FF">
        <w:t xml:space="preserve">of federal law </w:t>
      </w:r>
      <w:r w:rsidRPr="009F7671">
        <w:t xml:space="preserve">are enforced by federal agencies or through private </w:t>
      </w:r>
      <w:r>
        <w:t xml:space="preserve">civil </w:t>
      </w:r>
      <w:r w:rsidRPr="009F7671">
        <w:t>actions</w:t>
      </w:r>
      <w:r w:rsidR="004D1D8A">
        <w:t>, which</w:t>
      </w:r>
      <w:r w:rsidRPr="009F7671">
        <w:t xml:space="preserve"> may result in civil penalties or monetary damages.  Chapter 121 of the Texas Human Resources Code also provides for a private right of action</w:t>
      </w:r>
      <w:r w:rsidR="00784702">
        <w:t xml:space="preserve"> against discrimination</w:t>
      </w:r>
      <w:r w:rsidRPr="009F7671">
        <w:t>, but notably it also establishes criminal penalt</w:t>
      </w:r>
      <w:r w:rsidR="00784702">
        <w:t>ies</w:t>
      </w:r>
      <w:r w:rsidRPr="009F7671">
        <w:t xml:space="preserve"> for those who deny access to people with disabilities because of a service or assistance animal, for those who harm a service or assistance animal, or for those who misrepresent an animal as a service or assistance animal.</w:t>
      </w:r>
      <w:r w:rsidRPr="009F7671">
        <w:rPr>
          <w:vertAlign w:val="superscript"/>
        </w:rPr>
        <w:endnoteReference w:id="46"/>
      </w:r>
      <w:r w:rsidRPr="009F7671">
        <w:t xml:space="preserve"> Offenses are punishable by fines of not more than $300 and 30 hours of community service</w:t>
      </w:r>
      <w:r w:rsidR="00784702">
        <w:t xml:space="preserve"> at a governmental entity or nonprofit that serves people with visual impairments or other disabilities, or another entity </w:t>
      </w:r>
      <w:r w:rsidR="0015534E">
        <w:t xml:space="preserve">or organization </w:t>
      </w:r>
      <w:r w:rsidR="00784702">
        <w:t>chosen by the court</w:t>
      </w:r>
      <w:r w:rsidRPr="009F7671">
        <w:t>.</w:t>
      </w:r>
      <w:r w:rsidRPr="009F7671">
        <w:rPr>
          <w:vertAlign w:val="superscript"/>
        </w:rPr>
        <w:endnoteReference w:id="47"/>
      </w:r>
    </w:p>
    <w:p w14:paraId="76CA0DD9" w14:textId="3D0381D3" w:rsidR="009F7671" w:rsidRDefault="009F7671" w:rsidP="009F7671">
      <w:pPr>
        <w:ind w:right="-270"/>
      </w:pPr>
      <w:r w:rsidRPr="009F7671">
        <w:t>As it is a criminal statute, the responsibility for enforcing chapter 121 of the Texas Human Resources Code rests primarily in the hands of local prosecutors and peace officers.</w:t>
      </w:r>
      <w:r w:rsidRPr="009F7671">
        <w:rPr>
          <w:vertAlign w:val="superscript"/>
        </w:rPr>
        <w:endnoteReference w:id="48"/>
      </w:r>
      <w:r w:rsidRPr="009F7671">
        <w:t xml:space="preserve"> Many law enforcement officers may be unaware of the state law referenced above, possibly because of the law’s inclusion in the Human Resources Code rather than the Penal Code.  Law enforcement agencies should, therefore, prioritize the education of their prosecutors and peace officers in these laws.</w:t>
      </w:r>
    </w:p>
    <w:p w14:paraId="4A98484E" w14:textId="150363A9" w:rsidR="00B250ED" w:rsidRPr="00B250ED" w:rsidRDefault="00B250ED" w:rsidP="009F7671">
      <w:pPr>
        <w:ind w:right="-270"/>
        <w:rPr>
          <w:b/>
          <w:shd w:val="clear" w:color="auto" w:fill="FFFFFF"/>
        </w:rPr>
      </w:pPr>
      <w:r w:rsidRPr="00B250ED">
        <w:rPr>
          <w:b/>
        </w:rPr>
        <w:t>General Recommendations</w:t>
      </w:r>
    </w:p>
    <w:p w14:paraId="1E263D95" w14:textId="77777777" w:rsidR="00D52463" w:rsidRDefault="004D1D8A" w:rsidP="004D1D8A">
      <w:pPr>
        <w:pStyle w:val="ListParagraph"/>
        <w:numPr>
          <w:ilvl w:val="0"/>
          <w:numId w:val="31"/>
        </w:numPr>
      </w:pPr>
      <w:r>
        <w:t>To avoid continued confusion, amend state law to clarify</w:t>
      </w:r>
      <w:r w:rsidR="005A0E4E">
        <w:t xml:space="preserve"> the d</w:t>
      </w:r>
      <w:r w:rsidR="00823CA4">
        <w:t xml:space="preserve">ifference </w:t>
      </w:r>
      <w:r w:rsidR="004E4E85" w:rsidRPr="004E4E85">
        <w:t>between</w:t>
      </w:r>
      <w:r w:rsidR="005B794C">
        <w:t xml:space="preserve"> </w:t>
      </w:r>
      <w:r w:rsidR="004E4E85" w:rsidRPr="004E4E85">
        <w:t>service animal</w:t>
      </w:r>
      <w:r>
        <w:t>s</w:t>
      </w:r>
      <w:r w:rsidR="004E4E85" w:rsidRPr="004E4E85">
        <w:t xml:space="preserve"> and </w:t>
      </w:r>
      <w:r w:rsidR="00823CA4">
        <w:t xml:space="preserve">assistance </w:t>
      </w:r>
      <w:r w:rsidR="005A0E4E">
        <w:t>animal</w:t>
      </w:r>
      <w:r>
        <w:t>s</w:t>
      </w:r>
      <w:r w:rsidR="004E4E85" w:rsidRPr="004E4E85">
        <w:t>.</w:t>
      </w:r>
    </w:p>
    <w:p w14:paraId="3C154330" w14:textId="77777777" w:rsidR="00F41A5E" w:rsidRPr="004E4E85" w:rsidRDefault="004E4E85" w:rsidP="004D1D8A">
      <w:pPr>
        <w:pStyle w:val="ListParagraph"/>
        <w:numPr>
          <w:ilvl w:val="0"/>
          <w:numId w:val="31"/>
        </w:numPr>
      </w:pPr>
      <w:r w:rsidRPr="004E4E85">
        <w:t xml:space="preserve">Remove “approved” from the term “approved trainer” in </w:t>
      </w:r>
      <w:r w:rsidR="004D1D8A">
        <w:t>section 121.003(i) of the Texas Human Resources Code</w:t>
      </w:r>
      <w:r w:rsidR="005B794C">
        <w:t>.</w:t>
      </w:r>
      <w:r w:rsidR="004D1D8A">
        <w:t xml:space="preserve"> </w:t>
      </w:r>
      <w:r w:rsidR="00DF577C">
        <w:t xml:space="preserve">The term </w:t>
      </w:r>
      <w:r w:rsidR="00F41A5E">
        <w:t>“</w:t>
      </w:r>
      <w:r w:rsidR="00DF577C">
        <w:t>a</w:t>
      </w:r>
      <w:r w:rsidR="00F41A5E">
        <w:t>pproved” is not defined in statute</w:t>
      </w:r>
      <w:r w:rsidR="00D90617">
        <w:t xml:space="preserve"> and no </w:t>
      </w:r>
      <w:r w:rsidR="00DF577C">
        <w:t xml:space="preserve">state agency </w:t>
      </w:r>
      <w:r w:rsidR="000D590A">
        <w:t xml:space="preserve">has </w:t>
      </w:r>
      <w:r w:rsidR="00DF577C">
        <w:t xml:space="preserve">regulatory </w:t>
      </w:r>
      <w:r w:rsidR="004D1D8A">
        <w:t>authority to license or certify</w:t>
      </w:r>
      <w:r w:rsidR="000D590A">
        <w:t xml:space="preserve"> an individual as a trainer. </w:t>
      </w:r>
    </w:p>
    <w:p w14:paraId="4635BA75" w14:textId="77777777" w:rsidR="004E4E85" w:rsidRPr="004E4E85" w:rsidRDefault="00CB2463" w:rsidP="00CB2463">
      <w:pPr>
        <w:pStyle w:val="ListParagraph"/>
        <w:numPr>
          <w:ilvl w:val="0"/>
          <w:numId w:val="31"/>
        </w:numPr>
      </w:pPr>
      <w:r>
        <w:t>Increase the penalty for</w:t>
      </w:r>
      <w:r w:rsidR="004E4E85" w:rsidRPr="004E4E85">
        <w:t xml:space="preserve"> fraudulent representation of service</w:t>
      </w:r>
      <w:r>
        <w:t xml:space="preserve"> or assistance</w:t>
      </w:r>
      <w:r w:rsidR="004E4E85" w:rsidRPr="004E4E85">
        <w:t xml:space="preserve"> animals</w:t>
      </w:r>
      <w:r w:rsidR="00D52463">
        <w:t>.</w:t>
      </w:r>
      <w:r>
        <w:t xml:space="preserve">  This will serve as a stronger deterrent.</w:t>
      </w:r>
    </w:p>
    <w:p w14:paraId="163EF8EB" w14:textId="4A0C4CA7" w:rsidR="00D52463" w:rsidRPr="004E4E85" w:rsidRDefault="00CB2463" w:rsidP="00CB2463">
      <w:pPr>
        <w:pStyle w:val="ListParagraph"/>
        <w:numPr>
          <w:ilvl w:val="0"/>
          <w:numId w:val="31"/>
        </w:numPr>
      </w:pPr>
      <w:r>
        <w:t>For violations of chapter 121 of the Texas Human Resources Code, i</w:t>
      </w:r>
      <w:r w:rsidR="004E4E85" w:rsidRPr="004E4E85">
        <w:t>nclude additional penalty optio</w:t>
      </w:r>
      <w:r>
        <w:t>ns such as community service or court ordered disability</w:t>
      </w:r>
      <w:r w:rsidR="004E4E85" w:rsidRPr="004E4E85">
        <w:t xml:space="preserve"> awareness class</w:t>
      </w:r>
      <w:r>
        <w:t>es</w:t>
      </w:r>
      <w:r w:rsidR="00D52463">
        <w:t>.</w:t>
      </w:r>
      <w:r>
        <w:t xml:space="preserve">  These penalty options are present in other disability laws and have been </w:t>
      </w:r>
      <w:r w:rsidR="00DF577C">
        <w:t xml:space="preserve">shown </w:t>
      </w:r>
      <w:r w:rsidR="000D590A">
        <w:t xml:space="preserve">to reduce recidivism. </w:t>
      </w:r>
    </w:p>
    <w:p w14:paraId="08DFFDC1" w14:textId="5404AEFA" w:rsidR="00D52463" w:rsidRDefault="004E4E85" w:rsidP="00404A39">
      <w:pPr>
        <w:pStyle w:val="ListParagraph"/>
        <w:numPr>
          <w:ilvl w:val="0"/>
          <w:numId w:val="31"/>
        </w:numPr>
      </w:pPr>
      <w:r w:rsidRPr="004E4E85">
        <w:lastRenderedPageBreak/>
        <w:t>Designate a state agency to create public awareness training/class</w:t>
      </w:r>
      <w:r w:rsidR="004A0A34">
        <w:t>es</w:t>
      </w:r>
      <w:r w:rsidR="00404A39">
        <w:t xml:space="preserve"> regarding service and assistance animals.</w:t>
      </w:r>
      <w:r w:rsidR="00D52463">
        <w:t xml:space="preserve"> </w:t>
      </w:r>
      <w:r w:rsidR="00DF577C">
        <w:t xml:space="preserve">Past public </w:t>
      </w:r>
      <w:r w:rsidR="007275EF">
        <w:t>education campaign</w:t>
      </w:r>
      <w:r w:rsidR="00DF577C">
        <w:t>s have</w:t>
      </w:r>
      <w:r w:rsidR="00404A39">
        <w:t xml:space="preserve"> proven to be successful.</w:t>
      </w:r>
      <w:r w:rsidR="00DF577C">
        <w:t xml:space="preserve"> </w:t>
      </w:r>
    </w:p>
    <w:p w14:paraId="1416994D" w14:textId="4564E4A0" w:rsidR="004E4E85" w:rsidRPr="00B250ED" w:rsidRDefault="00B250ED" w:rsidP="00B250ED">
      <w:pPr>
        <w:rPr>
          <w:b/>
        </w:rPr>
      </w:pPr>
      <w:r>
        <w:rPr>
          <w:b/>
        </w:rPr>
        <w:t>Guiding Principles</w:t>
      </w:r>
    </w:p>
    <w:p w14:paraId="4203DDB0" w14:textId="77777777" w:rsidR="004E4E85" w:rsidRPr="004E4E85" w:rsidRDefault="004E4E85" w:rsidP="004E4E85">
      <w:r w:rsidRPr="004E4E85">
        <w:t>The workgroup agreed upon</w:t>
      </w:r>
      <w:r w:rsidR="00404A39">
        <w:t xml:space="preserve"> the following</w:t>
      </w:r>
      <w:r w:rsidRPr="004E4E85">
        <w:t xml:space="preserve"> set of principles that should inform any new legislation affecting the ri</w:t>
      </w:r>
      <w:r w:rsidR="00404A39">
        <w:t>ghts of service animal handlers:</w:t>
      </w:r>
      <w:r w:rsidRPr="004E4E85">
        <w:t xml:space="preserve"> </w:t>
      </w:r>
    </w:p>
    <w:p w14:paraId="295C840D" w14:textId="77777777" w:rsidR="004E4E85" w:rsidRDefault="004E4E85" w:rsidP="00F05052">
      <w:pPr>
        <w:pStyle w:val="ListParagraph"/>
        <w:numPr>
          <w:ilvl w:val="0"/>
          <w:numId w:val="32"/>
        </w:numPr>
      </w:pPr>
      <w:r w:rsidRPr="004E4E85">
        <w:t>Oppose any requirement to license or certify service animal handlers</w:t>
      </w:r>
      <w:r w:rsidR="00F05052">
        <w:t>.</w:t>
      </w:r>
      <w:r w:rsidRPr="004E4E85">
        <w:t xml:space="preserve"> </w:t>
      </w:r>
    </w:p>
    <w:p w14:paraId="5D42BBC4" w14:textId="77777777" w:rsidR="00883A30" w:rsidRPr="004E4E85" w:rsidRDefault="00883A30" w:rsidP="00883A30">
      <w:pPr>
        <w:pStyle w:val="ListParagraph"/>
      </w:pPr>
      <w:r>
        <w:t xml:space="preserve">Rationale: </w:t>
      </w:r>
      <w:r w:rsidR="00404A39">
        <w:t>Potential</w:t>
      </w:r>
      <w:r>
        <w:t xml:space="preserve"> conflict wit</w:t>
      </w:r>
      <w:r w:rsidR="00983803">
        <w:t>h federal law.</w:t>
      </w:r>
    </w:p>
    <w:p w14:paraId="642A2E42" w14:textId="77777777" w:rsidR="004E4E85" w:rsidRDefault="004E4E85" w:rsidP="00F05052">
      <w:pPr>
        <w:pStyle w:val="ListParagraph"/>
        <w:numPr>
          <w:ilvl w:val="0"/>
          <w:numId w:val="32"/>
        </w:numPr>
      </w:pPr>
      <w:r w:rsidRPr="004E4E85">
        <w:t>Oppose any limits on specific breeds of service animals.</w:t>
      </w:r>
    </w:p>
    <w:p w14:paraId="413D94EF" w14:textId="77777777" w:rsidR="00883A30" w:rsidRPr="004E4E85" w:rsidRDefault="00404A39" w:rsidP="00883A30">
      <w:pPr>
        <w:pStyle w:val="ListParagraph"/>
      </w:pPr>
      <w:r>
        <w:t>Rationale: Potential</w:t>
      </w:r>
      <w:r w:rsidR="00883A30">
        <w:t xml:space="preserve"> conflict with </w:t>
      </w:r>
      <w:r w:rsidR="00983803">
        <w:t>federal</w:t>
      </w:r>
      <w:r>
        <w:t xml:space="preserve"> law</w:t>
      </w:r>
      <w:r w:rsidR="00983803">
        <w:t>.</w:t>
      </w:r>
    </w:p>
    <w:p w14:paraId="7287716F" w14:textId="77777777" w:rsidR="00883A30" w:rsidRDefault="004E4E85" w:rsidP="00F05052">
      <w:pPr>
        <w:pStyle w:val="ListParagraph"/>
        <w:numPr>
          <w:ilvl w:val="0"/>
          <w:numId w:val="32"/>
        </w:numPr>
      </w:pPr>
      <w:r w:rsidRPr="004E4E85">
        <w:t>Oppose establish</w:t>
      </w:r>
      <w:r w:rsidR="00404A39">
        <w:t>ment of any voluntary registry for service animals.</w:t>
      </w:r>
      <w:r w:rsidRPr="004E4E85">
        <w:t xml:space="preserve"> </w:t>
      </w:r>
    </w:p>
    <w:p w14:paraId="51179CA5" w14:textId="77777777" w:rsidR="004E4E85" w:rsidRPr="004E4E85" w:rsidRDefault="00883A30" w:rsidP="00883A30">
      <w:pPr>
        <w:pStyle w:val="ListParagraph"/>
      </w:pPr>
      <w:r>
        <w:t xml:space="preserve">Rationale: </w:t>
      </w:r>
      <w:r w:rsidR="00404A39">
        <w:t>Non-participation in the registry may cause some to question a particular dog’s designation as a service animal</w:t>
      </w:r>
      <w:r w:rsidR="004E4E85" w:rsidRPr="004E4E85">
        <w:t>.</w:t>
      </w:r>
    </w:p>
    <w:p w14:paraId="11E14062" w14:textId="77777777" w:rsidR="003F6488" w:rsidRDefault="003F6488" w:rsidP="008B70B2">
      <w:pPr>
        <w:pStyle w:val="Heading1"/>
        <w:spacing w:before="0" w:after="240"/>
      </w:pPr>
    </w:p>
    <w:p w14:paraId="096FAC4C" w14:textId="77777777" w:rsidR="003F6488" w:rsidRDefault="003F6488">
      <w:pPr>
        <w:rPr>
          <w:rFonts w:eastAsiaTheme="majorEastAsia" w:cstheme="majorBidi"/>
          <w:b/>
          <w:sz w:val="32"/>
          <w:szCs w:val="32"/>
        </w:rPr>
      </w:pPr>
      <w:r>
        <w:br w:type="page"/>
      </w:r>
    </w:p>
    <w:p w14:paraId="1C319808" w14:textId="77777777" w:rsidR="00D458D2" w:rsidRPr="00377691" w:rsidRDefault="001E2B42" w:rsidP="008B70B2">
      <w:pPr>
        <w:pStyle w:val="Heading1"/>
        <w:spacing w:before="0" w:after="240"/>
      </w:pPr>
      <w:bookmarkStart w:id="11" w:name="_Toc4505520"/>
      <w:r w:rsidRPr="00377691">
        <w:lastRenderedPageBreak/>
        <w:t>Resources</w:t>
      </w:r>
      <w:bookmarkEnd w:id="11"/>
    </w:p>
    <w:p w14:paraId="35A23C21" w14:textId="77777777" w:rsidR="00427C3E" w:rsidRDefault="00427C3E" w:rsidP="00427C3E">
      <w:pPr>
        <w:rPr>
          <w:rStyle w:val="Hyperlink"/>
          <w:color w:val="000000" w:themeColor="text1"/>
          <w:u w:val="none"/>
        </w:rPr>
      </w:pPr>
      <w:r>
        <w:rPr>
          <w:rStyle w:val="Hyperlink"/>
          <w:color w:val="000000" w:themeColor="text1"/>
          <w:u w:val="none"/>
        </w:rPr>
        <w:t xml:space="preserve">ADA Update: A Primer for State and Local Government (2015.) U.S. Department of Justice. </w:t>
      </w:r>
      <w:r w:rsidRPr="00DD0D72">
        <w:rPr>
          <w:rStyle w:val="Hyperlink"/>
          <w:color w:val="000000" w:themeColor="text1"/>
          <w:szCs w:val="24"/>
          <w:u w:val="none"/>
        </w:rPr>
        <w:t>Retrieved September</w:t>
      </w:r>
      <w:r>
        <w:rPr>
          <w:rStyle w:val="Hyperlink"/>
          <w:color w:val="000000" w:themeColor="text1"/>
          <w:szCs w:val="24"/>
          <w:u w:val="none"/>
        </w:rPr>
        <w:t xml:space="preserve"> 24, 2018. </w:t>
      </w:r>
      <w:hyperlink r:id="rId21" w:history="1">
        <w:r w:rsidRPr="00116260">
          <w:rPr>
            <w:rStyle w:val="Hyperlink"/>
          </w:rPr>
          <w:t>https://www.ada.gov/regs2010/titleII_2010/title_ii_primer.html</w:t>
        </w:r>
      </w:hyperlink>
    </w:p>
    <w:p w14:paraId="2BE993EF" w14:textId="77777777" w:rsidR="00427C3E" w:rsidRPr="00D50810" w:rsidRDefault="00427C3E" w:rsidP="00427C3E">
      <w:pPr>
        <w:rPr>
          <w:rFonts w:eastAsia="Times New Roman" w:cs="Calibri"/>
          <w:color w:val="000000"/>
          <w:kern w:val="28"/>
          <w:szCs w:val="24"/>
          <w14:cntxtAlts/>
        </w:rPr>
      </w:pPr>
      <w:r w:rsidRPr="00D50810">
        <w:rPr>
          <w:rFonts w:eastAsia="Times New Roman" w:cs="Calibri"/>
          <w:color w:val="000000"/>
          <w:kern w:val="28"/>
          <w:szCs w:val="24"/>
          <w14:cntxtAlts/>
        </w:rPr>
        <w:t xml:space="preserve">Americans with Disabilities Act Title III Regulations. (2012). U.S. Department of Justice. </w:t>
      </w:r>
      <w:r w:rsidRPr="00DD0D72">
        <w:rPr>
          <w:rStyle w:val="Hyperlink"/>
          <w:color w:val="000000" w:themeColor="text1"/>
          <w:szCs w:val="24"/>
          <w:u w:val="none"/>
        </w:rPr>
        <w:t>Retrieved September</w:t>
      </w:r>
      <w:r>
        <w:rPr>
          <w:rStyle w:val="Hyperlink"/>
          <w:color w:val="000000" w:themeColor="text1"/>
          <w:szCs w:val="24"/>
          <w:u w:val="none"/>
        </w:rPr>
        <w:t xml:space="preserve"> 21, 2018. </w:t>
      </w:r>
      <w:hyperlink r:id="rId22" w:history="1">
        <w:r w:rsidRPr="00D50810">
          <w:rPr>
            <w:rStyle w:val="Hyperlink"/>
            <w:rFonts w:eastAsia="Times New Roman" w:cs="Calibri"/>
            <w:kern w:val="28"/>
            <w:szCs w:val="24"/>
            <w14:cntxtAlts/>
          </w:rPr>
          <w:t>https://www.ada.gov/regs2010/titleIII_2010/titleIII_2010_regulations.htm</w:t>
        </w:r>
      </w:hyperlink>
    </w:p>
    <w:p w14:paraId="3ADCF86A" w14:textId="77777777" w:rsidR="00427C3E" w:rsidRPr="00D50810" w:rsidRDefault="00427C3E" w:rsidP="00427C3E">
      <w:pPr>
        <w:rPr>
          <w:rFonts w:eastAsia="Times New Roman" w:cs="Calibri"/>
          <w:color w:val="000000"/>
          <w:kern w:val="28"/>
          <w:szCs w:val="24"/>
          <w14:cntxtAlts/>
        </w:rPr>
      </w:pPr>
      <w:r w:rsidRPr="00D50810">
        <w:rPr>
          <w:rFonts w:eastAsia="Times New Roman" w:cs="Calibri"/>
          <w:color w:val="000000"/>
          <w:kern w:val="28"/>
          <w:szCs w:val="24"/>
          <w14:cntxtAlts/>
        </w:rPr>
        <w:t>Americans with Disabilities Act Title II Regulations.</w:t>
      </w:r>
      <w:r>
        <w:rPr>
          <w:rFonts w:eastAsia="Times New Roman" w:cs="Calibri"/>
          <w:color w:val="000000"/>
          <w:kern w:val="28"/>
          <w:szCs w:val="24"/>
          <w14:cntxtAlts/>
        </w:rPr>
        <w:t xml:space="preserve"> (2012.) </w:t>
      </w:r>
      <w:r w:rsidRPr="00D50810">
        <w:rPr>
          <w:rFonts w:eastAsia="Times New Roman" w:cs="Calibri"/>
          <w:color w:val="000000"/>
          <w:kern w:val="28"/>
          <w:szCs w:val="24"/>
          <w14:cntxtAlts/>
        </w:rPr>
        <w:t>U.</w:t>
      </w:r>
      <w:r>
        <w:rPr>
          <w:rFonts w:eastAsia="Times New Roman" w:cs="Calibri"/>
          <w:color w:val="000000"/>
          <w:kern w:val="28"/>
          <w:szCs w:val="24"/>
          <w14:cntxtAlts/>
        </w:rPr>
        <w:t xml:space="preserve">S. Department of Justice. </w:t>
      </w:r>
      <w:r w:rsidRPr="00DD0D72">
        <w:rPr>
          <w:rStyle w:val="Hyperlink"/>
          <w:color w:val="000000" w:themeColor="text1"/>
          <w:szCs w:val="24"/>
          <w:u w:val="none"/>
        </w:rPr>
        <w:t>Retrieved September</w:t>
      </w:r>
      <w:r>
        <w:rPr>
          <w:rStyle w:val="Hyperlink"/>
          <w:color w:val="000000" w:themeColor="text1"/>
          <w:szCs w:val="24"/>
          <w:u w:val="none"/>
        </w:rPr>
        <w:t xml:space="preserve"> 21, 2018.</w:t>
      </w:r>
      <w:r w:rsidRPr="00D50810">
        <w:rPr>
          <w:rFonts w:eastAsia="Times New Roman" w:cs="Calibri"/>
          <w:color w:val="000000"/>
          <w:kern w:val="28"/>
          <w:szCs w:val="24"/>
          <w14:cntxtAlts/>
        </w:rPr>
        <w:t xml:space="preserve"> </w:t>
      </w:r>
      <w:r>
        <w:rPr>
          <w:rFonts w:eastAsia="Times New Roman" w:cs="Calibri"/>
          <w:color w:val="000000"/>
          <w:kern w:val="28"/>
          <w:szCs w:val="24"/>
          <w14:cntxtAlts/>
        </w:rPr>
        <w:t xml:space="preserve"> </w:t>
      </w:r>
      <w:hyperlink r:id="rId23" w:history="1">
        <w:r w:rsidRPr="00D50810">
          <w:rPr>
            <w:rStyle w:val="Hyperlink"/>
            <w:rFonts w:eastAsia="Times New Roman" w:cs="Calibri"/>
            <w:kern w:val="28"/>
            <w:szCs w:val="24"/>
            <w14:cntxtAlts/>
          </w:rPr>
          <w:t>https://www.ada.gov/regs2010/titleII_2010/titleII_2010_regulations.htm</w:t>
        </w:r>
      </w:hyperlink>
    </w:p>
    <w:p w14:paraId="4A32C403" w14:textId="77777777" w:rsidR="00875AA0" w:rsidRPr="00D50810" w:rsidRDefault="00875AA0" w:rsidP="00875AA0">
      <w:pPr>
        <w:rPr>
          <w:rStyle w:val="Hyperlink"/>
          <w:szCs w:val="24"/>
        </w:rPr>
      </w:pPr>
      <w:r w:rsidRPr="00D50810">
        <w:rPr>
          <w:rStyle w:val="Hyperlink"/>
          <w:color w:val="000000" w:themeColor="text1"/>
          <w:szCs w:val="24"/>
          <w:u w:val="none"/>
        </w:rPr>
        <w:t xml:space="preserve">Brennan, J., Nguyen, V. ADA National Network. (2014) Service Animals and Emotional Support Animals. Retrieved September 12, 2018. </w:t>
      </w:r>
      <w:hyperlink r:id="rId24" w:history="1">
        <w:r w:rsidRPr="00D50810">
          <w:rPr>
            <w:rStyle w:val="Hyperlink"/>
            <w:szCs w:val="24"/>
          </w:rPr>
          <w:t>https://adata.org/publication/service-animals-booklet</w:t>
        </w:r>
      </w:hyperlink>
    </w:p>
    <w:p w14:paraId="18968833" w14:textId="77777777" w:rsidR="00427C3E" w:rsidRPr="0034721B" w:rsidRDefault="00875AA0" w:rsidP="0034721B">
      <w:pPr>
        <w:rPr>
          <w:color w:val="0563C1" w:themeColor="hyperlink"/>
          <w:szCs w:val="24"/>
          <w:u w:val="single"/>
        </w:rPr>
      </w:pPr>
      <w:r w:rsidRPr="00D50810">
        <w:rPr>
          <w:rStyle w:val="Hyperlink"/>
          <w:color w:val="000000" w:themeColor="text1"/>
          <w:szCs w:val="24"/>
          <w:u w:val="none"/>
        </w:rPr>
        <w:t>Dear Litter: How Do You Address Employee Service Animal Accommodation Requests Under the ADA?</w:t>
      </w:r>
      <w:r w:rsidR="008112E5" w:rsidRPr="008112E5">
        <w:rPr>
          <w:rStyle w:val="Hyperlink"/>
          <w:color w:val="000000" w:themeColor="text1"/>
          <w:szCs w:val="24"/>
          <w:u w:val="none"/>
        </w:rPr>
        <w:t xml:space="preserve"> </w:t>
      </w:r>
      <w:r w:rsidR="0034721B">
        <w:rPr>
          <w:rStyle w:val="Hyperlink"/>
          <w:color w:val="000000" w:themeColor="text1"/>
          <w:szCs w:val="24"/>
          <w:u w:val="none"/>
        </w:rPr>
        <w:t>(2017).</w:t>
      </w:r>
      <w:r w:rsidR="008112E5">
        <w:rPr>
          <w:rStyle w:val="Hyperlink"/>
          <w:color w:val="000000" w:themeColor="text1"/>
          <w:szCs w:val="24"/>
          <w:u w:val="none"/>
        </w:rPr>
        <w:t xml:space="preserve"> </w:t>
      </w:r>
      <w:r w:rsidRPr="00D50810">
        <w:rPr>
          <w:rStyle w:val="Hyperlink"/>
          <w:color w:val="000000" w:themeColor="text1"/>
          <w:szCs w:val="24"/>
          <w:u w:val="none"/>
        </w:rPr>
        <w:t>Retrieved September 19, 2018.</w:t>
      </w:r>
      <w:r>
        <w:rPr>
          <w:rStyle w:val="Hyperlink"/>
          <w:color w:val="000000" w:themeColor="text1"/>
          <w:szCs w:val="24"/>
          <w:u w:val="none"/>
        </w:rPr>
        <w:t xml:space="preserve"> </w:t>
      </w:r>
      <w:hyperlink r:id="rId25" w:history="1">
        <w:r w:rsidRPr="00D50810">
          <w:rPr>
            <w:rStyle w:val="Hyperlink"/>
            <w:szCs w:val="24"/>
          </w:rPr>
          <w:t>https://www.littler.com/publication-press/publication/dear-littler-how-do-you-address-employee-service-animal-accommodation</w:t>
        </w:r>
      </w:hyperlink>
    </w:p>
    <w:p w14:paraId="61F3CF96" w14:textId="77777777" w:rsidR="00427C3E" w:rsidRPr="00D50810" w:rsidRDefault="00427C3E" w:rsidP="00427C3E">
      <w:pPr>
        <w:pStyle w:val="Default"/>
        <w:rPr>
          <w:rStyle w:val="Hyperlink"/>
          <w:rFonts w:ascii="Verdana" w:hAnsi="Verdana"/>
        </w:rPr>
      </w:pPr>
      <w:r>
        <w:rPr>
          <w:rFonts w:ascii="Verdana" w:hAnsi="Verdana"/>
        </w:rPr>
        <w:t>Notice on Assistance Animals for Reasonable Accommodations for P</w:t>
      </w:r>
      <w:r w:rsidR="0034721B">
        <w:rPr>
          <w:rFonts w:ascii="Verdana" w:hAnsi="Verdana"/>
        </w:rPr>
        <w:t>ersons with Disabilities.</w:t>
      </w:r>
      <w:r>
        <w:rPr>
          <w:rFonts w:ascii="Verdana" w:hAnsi="Verdana"/>
        </w:rPr>
        <w:t xml:space="preserve"> </w:t>
      </w:r>
      <w:r w:rsidRPr="00D50810">
        <w:rPr>
          <w:rFonts w:ascii="Verdana" w:hAnsi="Verdana"/>
        </w:rPr>
        <w:t xml:space="preserve">US. Department of Housing and Urban Development Archives. (2013) </w:t>
      </w:r>
      <w:r>
        <w:rPr>
          <w:rStyle w:val="Hyperlink"/>
          <w:rFonts w:ascii="Verdana" w:hAnsi="Verdana"/>
          <w:color w:val="000000" w:themeColor="text1"/>
          <w:u w:val="none"/>
        </w:rPr>
        <w:t>Retrieved September 24</w:t>
      </w:r>
      <w:r w:rsidRPr="00D50810">
        <w:rPr>
          <w:rStyle w:val="Hyperlink"/>
          <w:rFonts w:ascii="Verdana" w:hAnsi="Verdana"/>
          <w:color w:val="000000" w:themeColor="text1"/>
          <w:u w:val="none"/>
        </w:rPr>
        <w:t>, 2018.</w:t>
      </w:r>
      <w:r>
        <w:rPr>
          <w:rStyle w:val="Hyperlink"/>
          <w:rFonts w:ascii="Verdana" w:hAnsi="Verdana"/>
          <w:color w:val="000000" w:themeColor="text1"/>
          <w:u w:val="none"/>
        </w:rPr>
        <w:t xml:space="preserve"> </w:t>
      </w:r>
      <w:hyperlink r:id="rId26" w:history="1">
        <w:r w:rsidRPr="00D50810">
          <w:rPr>
            <w:rStyle w:val="Hyperlink"/>
            <w:rFonts w:ascii="Verdana" w:hAnsi="Verdana"/>
          </w:rPr>
          <w:t>https://archives.hud.gov/news/2013/pr13-060.cfm</w:t>
        </w:r>
      </w:hyperlink>
    </w:p>
    <w:p w14:paraId="616F9D22" w14:textId="77777777" w:rsidR="00427C3E" w:rsidRDefault="00427C3E" w:rsidP="00427C3E">
      <w:pPr>
        <w:pStyle w:val="Default"/>
        <w:rPr>
          <w:rFonts w:ascii="Verdana" w:hAnsi="Verdana" w:cs="Arial"/>
        </w:rPr>
      </w:pPr>
    </w:p>
    <w:p w14:paraId="11EC13EC" w14:textId="77777777" w:rsidR="00427C3E" w:rsidRPr="00D50810" w:rsidRDefault="00427C3E" w:rsidP="00427C3E">
      <w:pPr>
        <w:pStyle w:val="Default"/>
        <w:rPr>
          <w:rStyle w:val="Hyperlink"/>
          <w:rFonts w:ascii="Verdana" w:hAnsi="Verdana" w:cs="Arial"/>
        </w:rPr>
      </w:pPr>
      <w:r w:rsidRPr="00D50810">
        <w:rPr>
          <w:rFonts w:ascii="Verdana" w:hAnsi="Verdana" w:cs="Arial"/>
        </w:rPr>
        <w:t>Reasonable Accommodation under the Fair Housing Act.</w:t>
      </w:r>
      <w:r>
        <w:rPr>
          <w:rFonts w:ascii="Verdana" w:hAnsi="Verdana" w:cs="Arial"/>
        </w:rPr>
        <w:t xml:space="preserve"> </w:t>
      </w:r>
      <w:r w:rsidRPr="00D50810">
        <w:rPr>
          <w:rFonts w:ascii="Verdana" w:hAnsi="Verdana" w:cs="Arial"/>
        </w:rPr>
        <w:t xml:space="preserve">Joint Statement of the Department of Housing and Urban Development and the Department of Justice, (May 17, 2004). </w:t>
      </w:r>
      <w:r w:rsidRPr="00D50810">
        <w:rPr>
          <w:rStyle w:val="Hyperlink"/>
          <w:rFonts w:ascii="Verdana" w:hAnsi="Verdana"/>
          <w:color w:val="000000" w:themeColor="text1"/>
          <w:u w:val="none"/>
        </w:rPr>
        <w:t xml:space="preserve">Retrieved September 12, 2018. </w:t>
      </w:r>
      <w:hyperlink r:id="rId27" w:history="1">
        <w:r w:rsidRPr="00D50810">
          <w:rPr>
            <w:rStyle w:val="Hyperlink"/>
            <w:rFonts w:ascii="Verdana" w:hAnsi="Verdana" w:cs="Arial"/>
          </w:rPr>
          <w:t>https://archives.hud.gov/news/2013/huddojstatement.pdf</w:t>
        </w:r>
      </w:hyperlink>
    </w:p>
    <w:p w14:paraId="28C4EDCC" w14:textId="77777777" w:rsidR="00427C3E" w:rsidRDefault="00427C3E" w:rsidP="00F435B3">
      <w:pPr>
        <w:rPr>
          <w:rFonts w:eastAsia="Times New Roman" w:cs="Calibri"/>
          <w:color w:val="000000"/>
          <w:kern w:val="28"/>
          <w:szCs w:val="24"/>
          <w14:cntxtAlts/>
        </w:rPr>
      </w:pPr>
    </w:p>
    <w:p w14:paraId="25E37344" w14:textId="77777777" w:rsidR="00F435B3" w:rsidRDefault="0034721B" w:rsidP="00F435B3">
      <w:pPr>
        <w:rPr>
          <w:rStyle w:val="Hyperlink"/>
          <w:color w:val="000000" w:themeColor="text1"/>
          <w:u w:val="none"/>
        </w:rPr>
      </w:pPr>
      <w:r>
        <w:rPr>
          <w:rFonts w:eastAsia="Times New Roman" w:cs="Calibri"/>
          <w:color w:val="000000"/>
          <w:kern w:val="28"/>
          <w:szCs w:val="24"/>
          <w14:cntxtAlts/>
        </w:rPr>
        <w:t>Service Animals.</w:t>
      </w:r>
      <w:r w:rsidR="00A65BB9">
        <w:rPr>
          <w:rFonts w:eastAsia="Times New Roman" w:cs="Calibri"/>
          <w:color w:val="000000"/>
          <w:kern w:val="28"/>
          <w:szCs w:val="24"/>
          <w14:cntxtAlts/>
        </w:rPr>
        <w:t xml:space="preserve"> </w:t>
      </w:r>
      <w:r w:rsidR="00F435B3">
        <w:rPr>
          <w:rFonts w:eastAsia="Times New Roman" w:cs="Calibri"/>
          <w:color w:val="000000"/>
          <w:kern w:val="28"/>
          <w:szCs w:val="24"/>
          <w14:cntxtAlts/>
        </w:rPr>
        <w:t xml:space="preserve">Job Accommodations Network. </w:t>
      </w:r>
      <w:r w:rsidR="00F435B3">
        <w:rPr>
          <w:rStyle w:val="Hyperlink"/>
          <w:color w:val="000000" w:themeColor="text1"/>
          <w:u w:val="none"/>
        </w:rPr>
        <w:t xml:space="preserve">Retrieved 9/21/2018. </w:t>
      </w:r>
      <w:hyperlink r:id="rId28" w:history="1">
        <w:r w:rsidR="00F435B3" w:rsidRPr="001A5754">
          <w:rPr>
            <w:rStyle w:val="Hyperlink"/>
          </w:rPr>
          <w:t>https://askjan.org/topics/servanim.cfm</w:t>
        </w:r>
      </w:hyperlink>
      <w:r w:rsidR="00F435B3">
        <w:rPr>
          <w:rStyle w:val="Hyperlink"/>
        </w:rPr>
        <w:t xml:space="preserve"> </w:t>
      </w:r>
    </w:p>
    <w:p w14:paraId="21C9CE79" w14:textId="77777777" w:rsidR="00427C3E" w:rsidRDefault="00427C3E" w:rsidP="00427C3E">
      <w:pPr>
        <w:autoSpaceDE w:val="0"/>
        <w:autoSpaceDN w:val="0"/>
        <w:adjustRightInd w:val="0"/>
        <w:spacing w:after="0" w:line="240" w:lineRule="auto"/>
        <w:rPr>
          <w:szCs w:val="24"/>
        </w:rPr>
      </w:pPr>
      <w:r w:rsidRPr="00D50810">
        <w:rPr>
          <w:rFonts w:cs="Times New Roman"/>
          <w:szCs w:val="24"/>
        </w:rPr>
        <w:t>Service Animals and Assistance Animals for People with Disabilities in Housing and HUD-</w:t>
      </w:r>
      <w:r w:rsidRPr="00D50810">
        <w:rPr>
          <w:rFonts w:cs="Times New Roman"/>
          <w:color w:val="000000" w:themeColor="text1"/>
          <w:szCs w:val="24"/>
        </w:rPr>
        <w:t>Funded Programs.</w:t>
      </w:r>
      <w:r w:rsidRPr="00D50810">
        <w:rPr>
          <w:rStyle w:val="Hyperlink"/>
          <w:color w:val="000000" w:themeColor="text1"/>
          <w:szCs w:val="24"/>
          <w:u w:val="none"/>
        </w:rPr>
        <w:t xml:space="preserve"> US Department of Housing and Urban Development. (2013) Retrieved September 21, 2018. </w:t>
      </w:r>
      <w:r w:rsidRPr="00D50810">
        <w:rPr>
          <w:rStyle w:val="Hyperlink"/>
          <w:szCs w:val="24"/>
        </w:rPr>
        <w:t xml:space="preserve"> </w:t>
      </w:r>
      <w:hyperlink r:id="rId29" w:history="1">
        <w:r w:rsidRPr="00D50810">
          <w:rPr>
            <w:rStyle w:val="Hyperlink"/>
            <w:szCs w:val="24"/>
          </w:rPr>
          <w:t>https://www.animallaw.info/sites/default/files/FHEO_notice_assistance_animals2013.pdf</w:t>
        </w:r>
      </w:hyperlink>
      <w:r w:rsidRPr="00D50810">
        <w:rPr>
          <w:szCs w:val="24"/>
        </w:rPr>
        <w:t xml:space="preserve"> </w:t>
      </w:r>
    </w:p>
    <w:p w14:paraId="5602B878" w14:textId="77777777" w:rsidR="0034721B" w:rsidRPr="00D50810" w:rsidRDefault="0034721B" w:rsidP="00427C3E">
      <w:pPr>
        <w:autoSpaceDE w:val="0"/>
        <w:autoSpaceDN w:val="0"/>
        <w:adjustRightInd w:val="0"/>
        <w:spacing w:after="0" w:line="240" w:lineRule="auto"/>
        <w:rPr>
          <w:rFonts w:cs="Times New Roman"/>
          <w:szCs w:val="24"/>
        </w:rPr>
      </w:pPr>
    </w:p>
    <w:p w14:paraId="416BBC7E" w14:textId="77777777" w:rsidR="00875AA0" w:rsidRPr="00D50810" w:rsidRDefault="00A65BB9" w:rsidP="00875AA0">
      <w:pPr>
        <w:rPr>
          <w:rStyle w:val="Hyperlink"/>
          <w:szCs w:val="24"/>
        </w:rPr>
      </w:pPr>
      <w:r w:rsidRPr="00D50810">
        <w:rPr>
          <w:rStyle w:val="Hyperlink"/>
          <w:color w:val="000000" w:themeColor="text1"/>
          <w:szCs w:val="24"/>
          <w:u w:val="none"/>
        </w:rPr>
        <w:t xml:space="preserve">Service Animals and </w:t>
      </w:r>
      <w:r w:rsidR="0034721B">
        <w:rPr>
          <w:rStyle w:val="Hyperlink"/>
          <w:color w:val="000000" w:themeColor="text1"/>
          <w:szCs w:val="24"/>
          <w:u w:val="none"/>
        </w:rPr>
        <w:t>Employment Accommodation.</w:t>
      </w:r>
      <w:r w:rsidRPr="00D50810">
        <w:rPr>
          <w:rStyle w:val="Hyperlink"/>
          <w:color w:val="000000" w:themeColor="text1"/>
          <w:szCs w:val="24"/>
          <w:u w:val="none"/>
        </w:rPr>
        <w:t xml:space="preserve"> </w:t>
      </w:r>
      <w:r w:rsidR="00875AA0" w:rsidRPr="00D50810">
        <w:rPr>
          <w:rStyle w:val="Hyperlink"/>
          <w:color w:val="000000" w:themeColor="text1"/>
          <w:szCs w:val="24"/>
          <w:u w:val="none"/>
        </w:rPr>
        <w:t>Northwest ADA Center Retrieved September 1</w:t>
      </w:r>
      <w:r w:rsidR="00875AA0">
        <w:rPr>
          <w:rStyle w:val="Hyperlink"/>
          <w:color w:val="000000" w:themeColor="text1"/>
          <w:szCs w:val="24"/>
          <w:u w:val="none"/>
        </w:rPr>
        <w:t>2</w:t>
      </w:r>
      <w:r w:rsidR="00875AA0" w:rsidRPr="00D50810">
        <w:rPr>
          <w:rStyle w:val="Hyperlink"/>
          <w:color w:val="000000" w:themeColor="text1"/>
          <w:szCs w:val="24"/>
          <w:u w:val="none"/>
        </w:rPr>
        <w:t xml:space="preserve">, 2018. </w:t>
      </w:r>
      <w:hyperlink r:id="rId30" w:history="1">
        <w:r w:rsidR="00875AA0" w:rsidRPr="00D50810">
          <w:rPr>
            <w:rStyle w:val="Hyperlink"/>
            <w:szCs w:val="24"/>
          </w:rPr>
          <w:t>http://nwadacenter.org/factsheet/service-animals-employment-accommodation</w:t>
        </w:r>
      </w:hyperlink>
    </w:p>
    <w:p w14:paraId="5D2B1300" w14:textId="77777777" w:rsidR="005074EA" w:rsidRDefault="008112E5" w:rsidP="005074EA">
      <w:pPr>
        <w:rPr>
          <w:rStyle w:val="Hyperlink"/>
          <w:color w:val="000000" w:themeColor="text1"/>
          <w:u w:val="none"/>
        </w:rPr>
      </w:pPr>
      <w:r>
        <w:rPr>
          <w:rStyle w:val="Hyperlink"/>
          <w:color w:val="000000" w:themeColor="text1"/>
          <w:u w:val="none"/>
        </w:rPr>
        <w:lastRenderedPageBreak/>
        <w:t xml:space="preserve">Service Animals (Including Emotional Support Animals). (2018.) </w:t>
      </w:r>
      <w:r w:rsidR="005074EA">
        <w:rPr>
          <w:rStyle w:val="Hyperlink"/>
          <w:color w:val="000000" w:themeColor="text1"/>
          <w:u w:val="none"/>
        </w:rPr>
        <w:t xml:space="preserve">US Department of Transportation. </w:t>
      </w:r>
      <w:r w:rsidR="005074EA" w:rsidRPr="00DD0D72">
        <w:rPr>
          <w:rStyle w:val="Hyperlink"/>
          <w:color w:val="000000" w:themeColor="text1"/>
          <w:szCs w:val="24"/>
          <w:u w:val="none"/>
        </w:rPr>
        <w:t>Retrieved September</w:t>
      </w:r>
      <w:r w:rsidR="005074EA">
        <w:rPr>
          <w:rStyle w:val="Hyperlink"/>
          <w:color w:val="000000" w:themeColor="text1"/>
          <w:szCs w:val="24"/>
          <w:u w:val="none"/>
        </w:rPr>
        <w:t xml:space="preserve"> 22, 2018. </w:t>
      </w:r>
      <w:hyperlink r:id="rId31" w:history="1">
        <w:r w:rsidR="005074EA" w:rsidRPr="00116260">
          <w:rPr>
            <w:rStyle w:val="Hyperlink"/>
          </w:rPr>
          <w:t>https://www.transportation.gov/individuals/aviation-consumer-protection/service-animals-including-emotional-support-animals</w:t>
        </w:r>
      </w:hyperlink>
    </w:p>
    <w:p w14:paraId="5884D00C" w14:textId="0A300702" w:rsidR="00F435B3" w:rsidRPr="00D50810" w:rsidRDefault="00F435B3" w:rsidP="00F435B3">
      <w:pPr>
        <w:rPr>
          <w:rFonts w:cs="Arial"/>
          <w:szCs w:val="24"/>
        </w:rPr>
      </w:pPr>
      <w:r w:rsidRPr="00D50810">
        <w:rPr>
          <w:rStyle w:val="Hyperlink"/>
          <w:rFonts w:cs="Arial"/>
          <w:color w:val="000000" w:themeColor="text1"/>
          <w:szCs w:val="24"/>
          <w:u w:val="none"/>
        </w:rPr>
        <w:t>Wisch, Rebecca F.</w:t>
      </w:r>
      <w:r w:rsidR="00894573">
        <w:rPr>
          <w:rStyle w:val="Hyperlink"/>
          <w:rFonts w:cs="Arial"/>
          <w:color w:val="000000" w:themeColor="text1"/>
          <w:szCs w:val="24"/>
          <w:u w:val="none"/>
        </w:rPr>
        <w:t>,</w:t>
      </w:r>
      <w:r w:rsidRPr="00D50810">
        <w:rPr>
          <w:rStyle w:val="Hyperlink"/>
          <w:rFonts w:cs="Arial"/>
          <w:color w:val="000000" w:themeColor="text1"/>
          <w:szCs w:val="24"/>
          <w:u w:val="none"/>
        </w:rPr>
        <w:t xml:space="preserve"> FAQs on Emotional Support Animals. Animal Legal and Historical Center, </w:t>
      </w:r>
      <w:r>
        <w:rPr>
          <w:rStyle w:val="Hyperlink"/>
          <w:rFonts w:cs="Arial"/>
          <w:color w:val="000000" w:themeColor="text1"/>
          <w:szCs w:val="24"/>
          <w:u w:val="none"/>
        </w:rPr>
        <w:t xml:space="preserve">university of Michigan. </w:t>
      </w:r>
      <w:r w:rsidRPr="00D50810">
        <w:rPr>
          <w:rStyle w:val="Hyperlink"/>
          <w:rFonts w:cs="Arial"/>
          <w:color w:val="000000" w:themeColor="text1"/>
          <w:szCs w:val="24"/>
          <w:u w:val="none"/>
        </w:rPr>
        <w:t xml:space="preserve">(2015). </w:t>
      </w:r>
      <w:r w:rsidRPr="00D50810">
        <w:rPr>
          <w:rStyle w:val="Hyperlink"/>
          <w:color w:val="000000" w:themeColor="text1"/>
          <w:szCs w:val="24"/>
          <w:u w:val="none"/>
        </w:rPr>
        <w:t>Retrieved September 21, 2018.</w:t>
      </w:r>
      <w:r w:rsidRPr="00D50810">
        <w:rPr>
          <w:rStyle w:val="Hyperlink"/>
          <w:rFonts w:cs="Arial"/>
          <w:color w:val="000000" w:themeColor="text1"/>
          <w:szCs w:val="24"/>
          <w:u w:val="none"/>
        </w:rPr>
        <w:t xml:space="preserve">  </w:t>
      </w:r>
      <w:hyperlink r:id="rId32" w:history="1">
        <w:r w:rsidRPr="00D50810">
          <w:rPr>
            <w:rStyle w:val="Hyperlink"/>
            <w:rFonts w:cs="Arial"/>
            <w:szCs w:val="24"/>
          </w:rPr>
          <w:t>https://www.animallaw.info/article/faqs-emotional-support-animals</w:t>
        </w:r>
      </w:hyperlink>
    </w:p>
    <w:p w14:paraId="7A2E4F85" w14:textId="77777777" w:rsidR="00F435B3" w:rsidRDefault="00F435B3" w:rsidP="008A7CE2">
      <w:pPr>
        <w:pStyle w:val="Heading1"/>
        <w:rPr>
          <w:rFonts w:eastAsia="Times New Roman"/>
        </w:rPr>
      </w:pPr>
    </w:p>
    <w:p w14:paraId="5DADA87C" w14:textId="77777777" w:rsidR="0085321D" w:rsidRPr="0035165B" w:rsidRDefault="008A7CE2" w:rsidP="008A7CE2">
      <w:pPr>
        <w:pStyle w:val="Heading1"/>
        <w:rPr>
          <w:rFonts w:eastAsia="Times New Roman"/>
        </w:rPr>
      </w:pPr>
      <w:bookmarkStart w:id="12" w:name="_Toc4505521"/>
      <w:r>
        <w:rPr>
          <w:rFonts w:eastAsia="Times New Roman"/>
        </w:rPr>
        <w:t>Endnotes</w:t>
      </w:r>
      <w:bookmarkEnd w:id="12"/>
    </w:p>
    <w:sectPr w:rsidR="0085321D" w:rsidRPr="0035165B" w:rsidSect="003E61F5">
      <w:endnotePr>
        <w:numFmt w:val="decimal"/>
      </w:endnotePr>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62FB0" w14:textId="77777777" w:rsidR="0064644B" w:rsidRDefault="0064644B" w:rsidP="00C25FEB">
      <w:pPr>
        <w:spacing w:after="0" w:line="240" w:lineRule="auto"/>
      </w:pPr>
      <w:r>
        <w:separator/>
      </w:r>
    </w:p>
  </w:endnote>
  <w:endnote w:type="continuationSeparator" w:id="0">
    <w:p w14:paraId="2D576C83" w14:textId="77777777" w:rsidR="0064644B" w:rsidRDefault="0064644B" w:rsidP="00C25FEB">
      <w:pPr>
        <w:spacing w:after="0" w:line="240" w:lineRule="auto"/>
      </w:pPr>
      <w:r>
        <w:continuationSeparator/>
      </w:r>
    </w:p>
  </w:endnote>
  <w:endnote w:id="1">
    <w:p w14:paraId="2FEBF3E5" w14:textId="77777777" w:rsidR="00F54246" w:rsidRDefault="00F54246">
      <w:pPr>
        <w:pStyle w:val="EndnoteText"/>
      </w:pPr>
      <w:r w:rsidRPr="00250D1D">
        <w:rPr>
          <w:rStyle w:val="EndnoteReference"/>
        </w:rPr>
        <w:endnoteRef/>
      </w:r>
      <w:r w:rsidRPr="00250D1D">
        <w:t xml:space="preserve">  </w:t>
      </w:r>
      <w:r w:rsidRPr="00F9029A">
        <w:t>28 C.F.R. §§ 35.104, 36.104</w:t>
      </w:r>
      <w:r>
        <w:t xml:space="preserve"> </w:t>
      </w:r>
      <w:r w:rsidRPr="00BC43BB">
        <w:t>(defining “service animal” for purposes of Titles II and III of the ADA)</w:t>
      </w:r>
      <w:r>
        <w:t>.</w:t>
      </w:r>
    </w:p>
    <w:p w14:paraId="09F85D21" w14:textId="77777777" w:rsidR="00F54246" w:rsidRPr="00F9029A" w:rsidRDefault="00F54246">
      <w:pPr>
        <w:pStyle w:val="EndnoteText"/>
        <w:rPr>
          <w:i/>
        </w:rPr>
      </w:pPr>
    </w:p>
  </w:endnote>
  <w:endnote w:id="2">
    <w:p w14:paraId="181972AA" w14:textId="2E838700" w:rsidR="00F54246" w:rsidRDefault="00F54246" w:rsidP="00BC43BB">
      <w:pPr>
        <w:pStyle w:val="EndnoteText"/>
      </w:pPr>
      <w:r>
        <w:rPr>
          <w:rStyle w:val="EndnoteReference"/>
        </w:rPr>
        <w:endnoteRef/>
      </w:r>
      <w:r>
        <w:t xml:space="preserve"> </w:t>
      </w:r>
      <w:r w:rsidRPr="00BC43BB">
        <w:rPr>
          <w:i/>
        </w:rPr>
        <w:t>Id</w:t>
      </w:r>
      <w:r>
        <w:t>.</w:t>
      </w:r>
      <w:r w:rsidRPr="00BC43BB">
        <w:t>; Tex. Hum. Res. Code §</w:t>
      </w:r>
      <w:r w:rsidR="00894573">
        <w:t> </w:t>
      </w:r>
      <w:r w:rsidRPr="00BC43BB">
        <w:t>121.002(1).</w:t>
      </w:r>
    </w:p>
    <w:p w14:paraId="235095AA" w14:textId="77777777" w:rsidR="00F54246" w:rsidRDefault="00F54246" w:rsidP="00BC43BB">
      <w:pPr>
        <w:pStyle w:val="EndnoteText"/>
      </w:pPr>
    </w:p>
  </w:endnote>
  <w:endnote w:id="3">
    <w:p w14:paraId="658A4D2F" w14:textId="77777777" w:rsidR="00F54246" w:rsidRDefault="00F54246" w:rsidP="00BC43BB">
      <w:pPr>
        <w:pStyle w:val="EndnoteText"/>
      </w:pPr>
      <w:r>
        <w:rPr>
          <w:rStyle w:val="EndnoteReference"/>
        </w:rPr>
        <w:endnoteRef/>
      </w:r>
      <w:r>
        <w:t xml:space="preserve"> </w:t>
      </w:r>
      <w:r w:rsidRPr="00BC43BB">
        <w:t>14 C.F.R. § 382.117 (defining “service animal” for purposes of the ACAA).</w:t>
      </w:r>
    </w:p>
    <w:p w14:paraId="05BFE748" w14:textId="77777777" w:rsidR="00F54246" w:rsidRDefault="00F54246" w:rsidP="00BC43BB">
      <w:pPr>
        <w:pStyle w:val="EndnoteText"/>
      </w:pPr>
    </w:p>
  </w:endnote>
  <w:endnote w:id="4">
    <w:p w14:paraId="2E187B84" w14:textId="3A195E22" w:rsidR="00F54246" w:rsidRDefault="00F54246" w:rsidP="00BC43BB">
      <w:pPr>
        <w:pStyle w:val="EndnoteText"/>
      </w:pPr>
      <w:r>
        <w:rPr>
          <w:rStyle w:val="EndnoteReference"/>
        </w:rPr>
        <w:endnoteRef/>
      </w:r>
      <w:r>
        <w:t xml:space="preserve"> </w:t>
      </w:r>
      <w:r w:rsidRPr="00BA6695">
        <w:rPr>
          <w:i/>
        </w:rPr>
        <w:t>Id</w:t>
      </w:r>
      <w:r>
        <w:t>.</w:t>
      </w:r>
      <w:r w:rsidRPr="003D4178">
        <w:t>; Tex. Hum. Res. Code §</w:t>
      </w:r>
      <w:r>
        <w:t xml:space="preserve"> </w:t>
      </w:r>
      <w:r w:rsidRPr="003D4178">
        <w:t>121.002(1)</w:t>
      </w:r>
      <w:r>
        <w:t>.</w:t>
      </w:r>
    </w:p>
    <w:p w14:paraId="7C473FEE" w14:textId="77777777" w:rsidR="00F54246" w:rsidRDefault="00F54246" w:rsidP="00BC43BB">
      <w:pPr>
        <w:pStyle w:val="EndnoteText"/>
      </w:pPr>
    </w:p>
  </w:endnote>
  <w:endnote w:id="5">
    <w:p w14:paraId="546C8A84" w14:textId="77777777" w:rsidR="00F54246" w:rsidRDefault="00F54246" w:rsidP="00407933">
      <w:pPr>
        <w:pStyle w:val="EndnoteText"/>
      </w:pPr>
      <w:r>
        <w:rPr>
          <w:rStyle w:val="EndnoteReference"/>
        </w:rPr>
        <w:endnoteRef/>
      </w:r>
      <w:r>
        <w:t xml:space="preserve"> </w:t>
      </w:r>
      <w:r w:rsidRPr="003D4178">
        <w:t>42 U.S.C. §§ 12111-12117</w:t>
      </w:r>
      <w:r>
        <w:t>.</w:t>
      </w:r>
    </w:p>
    <w:p w14:paraId="630AC9EF" w14:textId="77777777" w:rsidR="00F54246" w:rsidRDefault="00F54246" w:rsidP="00407933">
      <w:pPr>
        <w:pStyle w:val="EndnoteText"/>
      </w:pPr>
    </w:p>
  </w:endnote>
  <w:endnote w:id="6">
    <w:p w14:paraId="7A6085F2" w14:textId="03490732" w:rsidR="00D35298" w:rsidRDefault="00D35298" w:rsidP="00D35298">
      <w:pPr>
        <w:pStyle w:val="EndnoteText"/>
        <w:rPr>
          <w:i/>
          <w:u w:val="single"/>
        </w:rPr>
      </w:pPr>
      <w:r>
        <w:rPr>
          <w:rStyle w:val="EndnoteReference"/>
        </w:rPr>
        <w:endnoteRef/>
      </w:r>
      <w:r>
        <w:t xml:space="preserve"> </w:t>
      </w:r>
      <w:r w:rsidRPr="00D35298">
        <w:rPr>
          <w:i/>
        </w:rPr>
        <w:t>See 29 C.F.R. Appendix to Part 1630 - Interpretive Guidance on Title I of the Americans with Disabilities Act; Service Animals and Employment Accommodation (http://nwadacenter.org/factsheet/service-animals-employment-accommodation)</w:t>
      </w:r>
      <w:r w:rsidRPr="003D4178">
        <w:t>.</w:t>
      </w:r>
      <w:r w:rsidRPr="003D4178">
        <w:rPr>
          <w:i/>
          <w:u w:val="single"/>
        </w:rPr>
        <w:t xml:space="preserve"> </w:t>
      </w:r>
    </w:p>
    <w:p w14:paraId="69D8114B" w14:textId="77777777" w:rsidR="00F54246" w:rsidRPr="005D464E" w:rsidRDefault="00F54246" w:rsidP="00407933">
      <w:pPr>
        <w:pStyle w:val="EndnoteText"/>
        <w:ind w:left="274" w:hanging="274"/>
        <w:rPr>
          <w:strike/>
        </w:rPr>
      </w:pPr>
      <w:r w:rsidRPr="005D464E">
        <w:rPr>
          <w:rFonts w:cs="Arial"/>
          <w:color w:val="333333"/>
          <w:shd w:val="clear" w:color="auto" w:fill="FFFFFF"/>
        </w:rPr>
        <w:t xml:space="preserve"> </w:t>
      </w:r>
    </w:p>
  </w:endnote>
  <w:endnote w:id="7">
    <w:p w14:paraId="211C5732" w14:textId="6D8B724D" w:rsidR="00F54246" w:rsidRDefault="00F54246" w:rsidP="00407933">
      <w:pPr>
        <w:pStyle w:val="EndnoteText"/>
        <w:rPr>
          <w:i/>
          <w:u w:val="single"/>
        </w:rPr>
      </w:pPr>
      <w:r>
        <w:rPr>
          <w:rStyle w:val="EndnoteReference"/>
        </w:rPr>
        <w:endnoteRef/>
      </w:r>
      <w:r>
        <w:t xml:space="preserve"> </w:t>
      </w:r>
      <w:r w:rsidRPr="003D4178">
        <w:rPr>
          <w:i/>
        </w:rPr>
        <w:t>See Arndt v. Ford Motor Co.</w:t>
      </w:r>
      <w:r w:rsidRPr="003D4178">
        <w:t xml:space="preserve">, 247 F.Supp.3d 832 (E.D. Mich. 2017); </w:t>
      </w:r>
      <w:r w:rsidRPr="003D4178">
        <w:rPr>
          <w:i/>
        </w:rPr>
        <w:t>Miranda v. Schlumberger Tech</w:t>
      </w:r>
      <w:r w:rsidR="00B55D94">
        <w:rPr>
          <w:i/>
        </w:rPr>
        <w:t>.</w:t>
      </w:r>
      <w:r w:rsidRPr="003D4178">
        <w:rPr>
          <w:i/>
        </w:rPr>
        <w:t xml:space="preserve"> Corp.</w:t>
      </w:r>
      <w:r w:rsidRPr="003D4178">
        <w:t>, 2014 WL 12489995 (W.D. Tex. 2014).</w:t>
      </w:r>
      <w:r w:rsidRPr="003D4178">
        <w:rPr>
          <w:i/>
          <w:u w:val="single"/>
        </w:rPr>
        <w:t xml:space="preserve"> </w:t>
      </w:r>
    </w:p>
    <w:p w14:paraId="5749D0AF" w14:textId="77777777" w:rsidR="00F54246" w:rsidRPr="00CC0C47" w:rsidRDefault="00F54246" w:rsidP="00407933">
      <w:pPr>
        <w:pStyle w:val="EndnoteText"/>
        <w:rPr>
          <w:color w:val="FF0000"/>
          <w:u w:val="single"/>
        </w:rPr>
      </w:pPr>
    </w:p>
  </w:endnote>
  <w:endnote w:id="8">
    <w:p w14:paraId="45D7BA44" w14:textId="77777777" w:rsidR="00F54246" w:rsidRDefault="00F54246" w:rsidP="008B7E89">
      <w:pPr>
        <w:pStyle w:val="EndnoteText"/>
      </w:pPr>
      <w:r w:rsidRPr="008B7E89">
        <w:rPr>
          <w:rStyle w:val="EndnoteReference"/>
        </w:rPr>
        <w:endnoteRef/>
      </w:r>
      <w:r w:rsidRPr="008B7E89">
        <w:t xml:space="preserve"> 42 U.S.C. §§ 12131-12189.</w:t>
      </w:r>
    </w:p>
    <w:p w14:paraId="0011A3BD" w14:textId="77777777" w:rsidR="00F54246" w:rsidRPr="008B7E89" w:rsidRDefault="00F54246" w:rsidP="008B7E89">
      <w:pPr>
        <w:pStyle w:val="EndnoteText"/>
      </w:pPr>
    </w:p>
  </w:endnote>
  <w:endnote w:id="9">
    <w:p w14:paraId="3FC345C1" w14:textId="77777777" w:rsidR="00F54246" w:rsidRDefault="00F54246" w:rsidP="008B7E89">
      <w:pPr>
        <w:pStyle w:val="EndnoteText"/>
      </w:pPr>
      <w:r>
        <w:rPr>
          <w:rStyle w:val="EndnoteReference"/>
        </w:rPr>
        <w:endnoteRef/>
      </w:r>
      <w:r>
        <w:t xml:space="preserve"> </w:t>
      </w:r>
      <w:r w:rsidRPr="008B7E89">
        <w:t>28 C.F.R. §§ 35.104, 36.104.</w:t>
      </w:r>
    </w:p>
    <w:p w14:paraId="4157CA84" w14:textId="77777777" w:rsidR="00F54246" w:rsidRDefault="00F54246" w:rsidP="008B7E89">
      <w:pPr>
        <w:pStyle w:val="EndnoteText"/>
      </w:pPr>
    </w:p>
  </w:endnote>
  <w:endnote w:id="10">
    <w:p w14:paraId="6001036A" w14:textId="664D9EDF" w:rsidR="00F54246" w:rsidRDefault="00F54246" w:rsidP="008B7E89">
      <w:pPr>
        <w:pStyle w:val="EndnoteText"/>
      </w:pPr>
      <w:r w:rsidRPr="00250D1D">
        <w:rPr>
          <w:rStyle w:val="EndnoteReference"/>
        </w:rPr>
        <w:endnoteRef/>
      </w:r>
      <w:r w:rsidRPr="00250D1D">
        <w:t xml:space="preserve"> </w:t>
      </w:r>
      <w:r w:rsidRPr="002168A6">
        <w:rPr>
          <w:i/>
        </w:rPr>
        <w:t>Id</w:t>
      </w:r>
      <w:r>
        <w:t>.</w:t>
      </w:r>
      <w:r w:rsidRPr="008B7E89">
        <w:t xml:space="preserve"> §§ 35.136</w:t>
      </w:r>
      <w:r w:rsidR="00FE2B13">
        <w:t>(b)</w:t>
      </w:r>
      <w:r w:rsidRPr="008B7E89">
        <w:t xml:space="preserve"> and 36.302(c)</w:t>
      </w:r>
      <w:r w:rsidR="00FE2B13">
        <w:t>(2)</w:t>
      </w:r>
      <w:r>
        <w:t>.</w:t>
      </w:r>
      <w:r w:rsidRPr="00250D1D">
        <w:t xml:space="preserve"> </w:t>
      </w:r>
    </w:p>
    <w:p w14:paraId="21ECF511" w14:textId="77777777" w:rsidR="00F54246" w:rsidRPr="00250D1D" w:rsidRDefault="00F54246" w:rsidP="008B7E89">
      <w:pPr>
        <w:pStyle w:val="EndnoteText"/>
      </w:pPr>
    </w:p>
  </w:endnote>
  <w:endnote w:id="11">
    <w:p w14:paraId="1A8254CF" w14:textId="77777777" w:rsidR="00F54246" w:rsidRDefault="00F54246" w:rsidP="008B7E89">
      <w:pPr>
        <w:pStyle w:val="EndnoteText"/>
      </w:pPr>
      <w:r w:rsidRPr="00250D1D">
        <w:rPr>
          <w:rStyle w:val="EndnoteReference"/>
        </w:rPr>
        <w:endnoteRef/>
      </w:r>
      <w:r>
        <w:t xml:space="preserve"> </w:t>
      </w:r>
      <w:r w:rsidRPr="002168A6">
        <w:rPr>
          <w:i/>
        </w:rPr>
        <w:t>Id.</w:t>
      </w:r>
      <w:r>
        <w:t xml:space="preserve"> §§ 35.136(f) and</w:t>
      </w:r>
      <w:r w:rsidRPr="00911C2F">
        <w:t xml:space="preserve"> 36.302(c)(6)</w:t>
      </w:r>
      <w:r>
        <w:t>.</w:t>
      </w:r>
    </w:p>
    <w:p w14:paraId="14FC558E" w14:textId="77777777" w:rsidR="00F54246" w:rsidRPr="00250D1D" w:rsidRDefault="00F54246" w:rsidP="008B7E89">
      <w:pPr>
        <w:pStyle w:val="EndnoteText"/>
      </w:pPr>
    </w:p>
  </w:endnote>
  <w:endnote w:id="12">
    <w:p w14:paraId="2F6ADF96" w14:textId="4F167667" w:rsidR="00F54246" w:rsidRDefault="00F54246" w:rsidP="00911C2F">
      <w:pPr>
        <w:pStyle w:val="EndnoteText"/>
        <w:rPr>
          <w:i/>
        </w:rPr>
      </w:pPr>
      <w:r w:rsidRPr="00250D1D">
        <w:rPr>
          <w:rStyle w:val="EndnoteReference"/>
        </w:rPr>
        <w:endnoteRef/>
      </w:r>
      <w:r w:rsidRPr="00250D1D">
        <w:t xml:space="preserve"> </w:t>
      </w:r>
      <w:r w:rsidRPr="003B7D58">
        <w:rPr>
          <w:i/>
        </w:rPr>
        <w:t>Id.</w:t>
      </w:r>
      <w:r w:rsidR="002C6F44" w:rsidRPr="002C6F44">
        <w:t xml:space="preserve"> </w:t>
      </w:r>
      <w:r w:rsidR="002C6F44">
        <w:t>§§ 35.136(f) and</w:t>
      </w:r>
      <w:r w:rsidR="002C6F44" w:rsidRPr="00911C2F">
        <w:t xml:space="preserve"> 36.302(c)(6)</w:t>
      </w:r>
      <w:r w:rsidR="002C6F44">
        <w:t>.</w:t>
      </w:r>
    </w:p>
    <w:p w14:paraId="32103D68" w14:textId="77777777" w:rsidR="00F54246" w:rsidRPr="00250D1D" w:rsidRDefault="00F54246" w:rsidP="00911C2F">
      <w:pPr>
        <w:pStyle w:val="EndnoteText"/>
      </w:pPr>
    </w:p>
  </w:endnote>
  <w:endnote w:id="13">
    <w:p w14:paraId="3410964C" w14:textId="77777777" w:rsidR="00F54246" w:rsidRDefault="00F54246" w:rsidP="00911C2F">
      <w:pPr>
        <w:pStyle w:val="EndnoteText"/>
      </w:pPr>
      <w:r w:rsidRPr="00250D1D">
        <w:rPr>
          <w:rStyle w:val="EndnoteReference"/>
        </w:rPr>
        <w:endnoteRef/>
      </w:r>
      <w:r w:rsidRPr="00250D1D">
        <w:t xml:space="preserve"> </w:t>
      </w:r>
      <w:r w:rsidRPr="00911C2F">
        <w:rPr>
          <w:i/>
        </w:rPr>
        <w:t>Id.</w:t>
      </w:r>
      <w:r>
        <w:t xml:space="preserve"> §§ 35.136(h) and</w:t>
      </w:r>
      <w:r w:rsidRPr="00911C2F">
        <w:t xml:space="preserve"> 36.302(c)(8)</w:t>
      </w:r>
      <w:r>
        <w:t>.</w:t>
      </w:r>
    </w:p>
    <w:p w14:paraId="7B62C170" w14:textId="77777777" w:rsidR="00F54246" w:rsidRPr="00911C2F" w:rsidRDefault="00F54246" w:rsidP="00911C2F">
      <w:pPr>
        <w:pStyle w:val="EndnoteText"/>
      </w:pPr>
    </w:p>
  </w:endnote>
  <w:endnote w:id="14">
    <w:p w14:paraId="16A3F21B" w14:textId="77777777" w:rsidR="00F54246" w:rsidRDefault="00F54246" w:rsidP="00911C2F">
      <w:pPr>
        <w:pStyle w:val="EndnoteText"/>
      </w:pPr>
      <w:r>
        <w:rPr>
          <w:rStyle w:val="EndnoteReference"/>
        </w:rPr>
        <w:endnoteRef/>
      </w:r>
      <w:r>
        <w:t xml:space="preserve"> </w:t>
      </w:r>
      <w:r w:rsidRPr="00911C2F">
        <w:t xml:space="preserve">U.S. DOJ Civil Rights Division, </w:t>
      </w:r>
      <w:r w:rsidRPr="00911C2F">
        <w:rPr>
          <w:i/>
        </w:rPr>
        <w:t>Frequently Asked Questions about Service Animals and the ADA</w:t>
      </w:r>
      <w:r w:rsidRPr="00911C2F">
        <w:t xml:space="preserve"> (available at: </w:t>
      </w:r>
      <w:hyperlink r:id="rId1" w:history="1">
        <w:r w:rsidRPr="00911C2F">
          <w:rPr>
            <w:rStyle w:val="Hyperlink"/>
            <w:color w:val="auto"/>
            <w:u w:val="none"/>
          </w:rPr>
          <w:t>https://www.ada.gov/regs2010/service_animal_qa.html</w:t>
        </w:r>
      </w:hyperlink>
      <w:r w:rsidRPr="00911C2F">
        <w:t>)</w:t>
      </w:r>
      <w:r>
        <w:t>.</w:t>
      </w:r>
    </w:p>
    <w:p w14:paraId="2A8BB892" w14:textId="77777777" w:rsidR="00F54246" w:rsidRPr="00911C2F" w:rsidRDefault="00F54246" w:rsidP="00911C2F">
      <w:pPr>
        <w:pStyle w:val="EndnoteText"/>
      </w:pPr>
    </w:p>
  </w:endnote>
  <w:endnote w:id="15">
    <w:p w14:paraId="4D348CCF" w14:textId="77777777" w:rsidR="00F54246" w:rsidRDefault="00F54246" w:rsidP="00911C2F">
      <w:pPr>
        <w:pStyle w:val="EndnoteText"/>
      </w:pPr>
      <w:r>
        <w:rPr>
          <w:rStyle w:val="EndnoteReference"/>
        </w:rPr>
        <w:endnoteRef/>
      </w:r>
      <w:r>
        <w:t xml:space="preserve"> 42 U.S.C. § 12133; 28 C.F.R. §§ 35.170, 36.501, and 36.502.</w:t>
      </w:r>
    </w:p>
    <w:p w14:paraId="740ABDE2" w14:textId="77777777" w:rsidR="00F54246" w:rsidRDefault="00F54246" w:rsidP="00911C2F">
      <w:pPr>
        <w:pStyle w:val="EndnoteText"/>
      </w:pPr>
    </w:p>
  </w:endnote>
  <w:endnote w:id="16">
    <w:p w14:paraId="5B237B64" w14:textId="77777777" w:rsidR="00F54246" w:rsidRDefault="00F54246" w:rsidP="00234D97">
      <w:pPr>
        <w:pStyle w:val="EndnoteText"/>
      </w:pPr>
      <w:r>
        <w:rPr>
          <w:rStyle w:val="EndnoteReference"/>
        </w:rPr>
        <w:endnoteRef/>
      </w:r>
      <w:r>
        <w:t xml:space="preserve"> </w:t>
      </w:r>
      <w:r w:rsidRPr="00B37A6A">
        <w:t>42 U.S.C. §§ 3601-3619</w:t>
      </w:r>
      <w:r>
        <w:t>.</w:t>
      </w:r>
    </w:p>
    <w:p w14:paraId="7B418191" w14:textId="77777777" w:rsidR="00F54246" w:rsidRPr="007064BD" w:rsidRDefault="00F54246" w:rsidP="00234D97">
      <w:pPr>
        <w:pStyle w:val="EndnoteText"/>
        <w:rPr>
          <w:color w:val="FF0000"/>
          <w:u w:val="single"/>
        </w:rPr>
      </w:pPr>
    </w:p>
  </w:endnote>
  <w:endnote w:id="17">
    <w:p w14:paraId="1B149A81" w14:textId="77777777" w:rsidR="00F54246" w:rsidRDefault="00F54246" w:rsidP="00234D97">
      <w:pPr>
        <w:pStyle w:val="EndnoteText"/>
      </w:pPr>
      <w:r>
        <w:rPr>
          <w:rStyle w:val="EndnoteReference"/>
        </w:rPr>
        <w:endnoteRef/>
      </w:r>
      <w:r>
        <w:t xml:space="preserve"> </w:t>
      </w:r>
      <w:r w:rsidRPr="00B37A6A">
        <w:rPr>
          <w:i/>
        </w:rPr>
        <w:t>Id</w:t>
      </w:r>
      <w:r w:rsidRPr="00B37A6A">
        <w:t>. § 3604(f)(3)(B)</w:t>
      </w:r>
      <w:r>
        <w:t>.</w:t>
      </w:r>
    </w:p>
    <w:p w14:paraId="0078000A" w14:textId="77777777" w:rsidR="00F54246" w:rsidRDefault="00F54246" w:rsidP="00234D97">
      <w:pPr>
        <w:pStyle w:val="EndnoteText"/>
      </w:pPr>
    </w:p>
  </w:endnote>
  <w:endnote w:id="18">
    <w:p w14:paraId="16A62374" w14:textId="18DB8E39" w:rsidR="00F54246" w:rsidRDefault="00F54246" w:rsidP="00234D97">
      <w:pPr>
        <w:pStyle w:val="EndnoteText"/>
      </w:pPr>
      <w:r>
        <w:rPr>
          <w:rStyle w:val="EndnoteReference"/>
        </w:rPr>
        <w:endnoteRef/>
      </w:r>
      <w:r>
        <w:t xml:space="preserve"> </w:t>
      </w:r>
      <w:r w:rsidRPr="00B37A6A">
        <w:rPr>
          <w:i/>
        </w:rPr>
        <w:t>See, e.g., Revock v. Cowpet Bay West Condo. Ass’n</w:t>
      </w:r>
      <w:r w:rsidRPr="00B37A6A">
        <w:t>, 853 F.3d 96 (3</w:t>
      </w:r>
      <w:r w:rsidR="00894573">
        <w:t>rd</w:t>
      </w:r>
      <w:r w:rsidRPr="00B37A6A">
        <w:t xml:space="preserve"> Cir. 2017); </w:t>
      </w:r>
      <w:r w:rsidRPr="00B37A6A">
        <w:rPr>
          <w:i/>
        </w:rPr>
        <w:t>Castillo Condo. Ass’n v. U.S. Dep’t of Hous. &amp; Urban Dev.</w:t>
      </w:r>
      <w:r w:rsidRPr="00B37A6A">
        <w:t>, 821 F.3d 92 (1</w:t>
      </w:r>
      <w:r w:rsidR="00894573">
        <w:t>st</w:t>
      </w:r>
      <w:r w:rsidRPr="00B37A6A">
        <w:t xml:space="preserve"> Cir. 2016).  </w:t>
      </w:r>
      <w:r w:rsidRPr="00B37A6A">
        <w:rPr>
          <w:i/>
        </w:rPr>
        <w:t>See also</w:t>
      </w:r>
      <w:r w:rsidRPr="00B37A6A">
        <w:t xml:space="preserve"> U.S. Department of Housing and Urban Development, FHEO Notice: FHEO-2013-01 (April 25, 2013) (available at </w:t>
      </w:r>
      <w:hyperlink r:id="rId2" w:history="1">
        <w:r w:rsidRPr="004E7F3E">
          <w:rPr>
            <w:rStyle w:val="Hyperlink"/>
          </w:rPr>
          <w:t>https://archives.hud.gov/news/2013/pr13-060.cfm</w:t>
        </w:r>
      </w:hyperlink>
      <w:r w:rsidRPr="00B37A6A">
        <w:t>).</w:t>
      </w:r>
    </w:p>
    <w:p w14:paraId="7EAAC5DF" w14:textId="77777777" w:rsidR="00F54246" w:rsidRPr="000800FA" w:rsidRDefault="00F54246" w:rsidP="00234D97">
      <w:pPr>
        <w:pStyle w:val="EndnoteText"/>
        <w:rPr>
          <w:color w:val="FF0000"/>
          <w:u w:val="single"/>
        </w:rPr>
      </w:pPr>
    </w:p>
  </w:endnote>
  <w:endnote w:id="19">
    <w:p w14:paraId="7875F235" w14:textId="77777777" w:rsidR="00F54246" w:rsidRDefault="00F54246" w:rsidP="00234D97">
      <w:pPr>
        <w:pStyle w:val="EndnoteText"/>
      </w:pPr>
      <w:r>
        <w:rPr>
          <w:rStyle w:val="EndnoteReference"/>
        </w:rPr>
        <w:endnoteRef/>
      </w:r>
      <w:r>
        <w:t xml:space="preserve"> </w:t>
      </w:r>
      <w:r w:rsidRPr="00B37A6A">
        <w:t>U.S. Department of Housing and Urban Development, FHEO Notice: FHEO-2013-01 (April 25, 2013).</w:t>
      </w:r>
    </w:p>
    <w:p w14:paraId="5FD9DCF4" w14:textId="77777777" w:rsidR="00F54246" w:rsidRDefault="00F54246" w:rsidP="00234D97">
      <w:pPr>
        <w:pStyle w:val="EndnoteText"/>
      </w:pPr>
    </w:p>
  </w:endnote>
  <w:endnote w:id="20">
    <w:p w14:paraId="43FE66AA" w14:textId="77777777" w:rsidR="00F54246" w:rsidRDefault="00F54246" w:rsidP="00234D97">
      <w:pPr>
        <w:pStyle w:val="EndnoteText"/>
        <w:rPr>
          <w:i/>
        </w:rPr>
      </w:pPr>
      <w:r>
        <w:rPr>
          <w:rStyle w:val="EndnoteReference"/>
        </w:rPr>
        <w:endnoteRef/>
      </w:r>
      <w:r>
        <w:t xml:space="preserve"> </w:t>
      </w:r>
      <w:r w:rsidRPr="00B37A6A">
        <w:rPr>
          <w:i/>
        </w:rPr>
        <w:t>Id.</w:t>
      </w:r>
    </w:p>
    <w:p w14:paraId="11B5626D" w14:textId="77777777" w:rsidR="00F54246" w:rsidRPr="00B37A6A" w:rsidRDefault="00F54246" w:rsidP="00234D97">
      <w:pPr>
        <w:pStyle w:val="EndnoteText"/>
      </w:pPr>
    </w:p>
  </w:endnote>
  <w:endnote w:id="21">
    <w:p w14:paraId="768D9AD4" w14:textId="2677496A" w:rsidR="00F54246" w:rsidRDefault="00F54246" w:rsidP="00234D97">
      <w:pPr>
        <w:pStyle w:val="EndnoteText"/>
      </w:pPr>
      <w:r>
        <w:rPr>
          <w:rStyle w:val="EndnoteReference"/>
        </w:rPr>
        <w:endnoteRef/>
      </w:r>
      <w:r>
        <w:t xml:space="preserve"> </w:t>
      </w:r>
      <w:r w:rsidRPr="002168A6">
        <w:rPr>
          <w:i/>
        </w:rPr>
        <w:t xml:space="preserve">See </w:t>
      </w:r>
      <w:r w:rsidRPr="00B37A6A">
        <w:rPr>
          <w:i/>
        </w:rPr>
        <w:t>Fair Housing of the Dakotas, Inc. v. Goldmark Prop. Mgmt., Inc.</w:t>
      </w:r>
      <w:r w:rsidRPr="00B37A6A">
        <w:t>, 778 F.Supp.2d 1028, 1036 (D.N.D. 2011) (“</w:t>
      </w:r>
      <w:r w:rsidR="00B55D94">
        <w:t>[T]</w:t>
      </w:r>
      <w:r w:rsidRPr="00B37A6A">
        <w:t>he FHA encompasses all types of assistance animals regardless of training, including those that ameliorate a physical disability and those that ameliorate a mental disability.</w:t>
      </w:r>
      <w:r>
        <w:t>”</w:t>
      </w:r>
      <w:r w:rsidRPr="00B37A6A">
        <w:t xml:space="preserve">); </w:t>
      </w:r>
      <w:r w:rsidRPr="00B37A6A">
        <w:rPr>
          <w:i/>
        </w:rPr>
        <w:t>Sanzaro v. Ardiente Homeowners Ass’n LLC</w:t>
      </w:r>
      <w:r w:rsidRPr="00B37A6A">
        <w:t>, 21 F.Supp.3d 1109, 1119 (D. Nev. 2014) (“the relevant inquiry under the FHA is whether the animal ‘performs the disability-related assistance or provides the disability-related benefit’”).</w:t>
      </w:r>
    </w:p>
    <w:p w14:paraId="3179AFCD" w14:textId="77777777" w:rsidR="00F54246" w:rsidRDefault="00F54246" w:rsidP="00234D97">
      <w:pPr>
        <w:pStyle w:val="EndnoteText"/>
      </w:pPr>
    </w:p>
  </w:endnote>
  <w:endnote w:id="22">
    <w:p w14:paraId="245A1DD2" w14:textId="4590B6CC" w:rsidR="00F54246" w:rsidRPr="00F54246" w:rsidRDefault="00F54246" w:rsidP="00B37A6A">
      <w:pPr>
        <w:pStyle w:val="EndnoteText"/>
      </w:pPr>
      <w:r>
        <w:rPr>
          <w:rStyle w:val="EndnoteReference"/>
        </w:rPr>
        <w:endnoteRef/>
      </w:r>
      <w:r>
        <w:t xml:space="preserve"> </w:t>
      </w:r>
      <w:r w:rsidRPr="00F54246">
        <w:t>U.S. Department of Housing and Urban Development, FHEO Notice: FHEO-2013-01 (April 25, 2013).</w:t>
      </w:r>
    </w:p>
    <w:p w14:paraId="3036CCAB" w14:textId="77777777" w:rsidR="00F54246" w:rsidRDefault="00F54246" w:rsidP="00B37A6A">
      <w:pPr>
        <w:pStyle w:val="EndnoteText"/>
      </w:pPr>
    </w:p>
  </w:endnote>
  <w:endnote w:id="23">
    <w:p w14:paraId="41568B9F" w14:textId="77777777" w:rsidR="00F54246" w:rsidRDefault="00F54246" w:rsidP="00B37A6A">
      <w:pPr>
        <w:pStyle w:val="EndnoteText"/>
        <w:rPr>
          <w:i/>
        </w:rPr>
      </w:pPr>
      <w:r>
        <w:rPr>
          <w:rStyle w:val="EndnoteReference"/>
        </w:rPr>
        <w:endnoteRef/>
      </w:r>
      <w:r>
        <w:t xml:space="preserve"> </w:t>
      </w:r>
      <w:r w:rsidRPr="00B37A6A">
        <w:rPr>
          <w:i/>
        </w:rPr>
        <w:t>Id.</w:t>
      </w:r>
    </w:p>
    <w:p w14:paraId="303721E3" w14:textId="77777777" w:rsidR="00F54246" w:rsidRDefault="00F54246" w:rsidP="00B37A6A">
      <w:pPr>
        <w:pStyle w:val="EndnoteText"/>
      </w:pPr>
    </w:p>
  </w:endnote>
  <w:endnote w:id="24">
    <w:p w14:paraId="4E1BD41C" w14:textId="77777777" w:rsidR="00F54246" w:rsidRDefault="00F54246" w:rsidP="00B37A6A">
      <w:pPr>
        <w:pStyle w:val="EndnoteText"/>
        <w:rPr>
          <w:i/>
        </w:rPr>
      </w:pPr>
      <w:r>
        <w:rPr>
          <w:rStyle w:val="EndnoteReference"/>
        </w:rPr>
        <w:endnoteRef/>
      </w:r>
      <w:r>
        <w:t xml:space="preserve"> </w:t>
      </w:r>
      <w:r w:rsidRPr="00B37A6A">
        <w:rPr>
          <w:i/>
        </w:rPr>
        <w:t>Id.</w:t>
      </w:r>
    </w:p>
    <w:p w14:paraId="1CA51D6D" w14:textId="77777777" w:rsidR="00F54246" w:rsidRDefault="00F54246" w:rsidP="00B37A6A">
      <w:pPr>
        <w:pStyle w:val="EndnoteText"/>
      </w:pPr>
    </w:p>
  </w:endnote>
  <w:endnote w:id="25">
    <w:p w14:paraId="05669D9E" w14:textId="77777777" w:rsidR="00F54246" w:rsidRDefault="00F54246" w:rsidP="00B37A6A">
      <w:pPr>
        <w:pStyle w:val="EndnoteText"/>
        <w:rPr>
          <w:i/>
        </w:rPr>
      </w:pPr>
      <w:r>
        <w:rPr>
          <w:rStyle w:val="EndnoteReference"/>
        </w:rPr>
        <w:endnoteRef/>
      </w:r>
      <w:r>
        <w:t xml:space="preserve"> </w:t>
      </w:r>
      <w:r w:rsidRPr="00B37A6A">
        <w:rPr>
          <w:i/>
        </w:rPr>
        <w:t>Id.</w:t>
      </w:r>
    </w:p>
    <w:p w14:paraId="4CB960A8" w14:textId="77777777" w:rsidR="00F54246" w:rsidRDefault="00F54246" w:rsidP="00B37A6A">
      <w:pPr>
        <w:pStyle w:val="EndnoteText"/>
      </w:pPr>
    </w:p>
  </w:endnote>
  <w:endnote w:id="26">
    <w:p w14:paraId="7EBDF7F3" w14:textId="77777777" w:rsidR="00F54246" w:rsidRDefault="00F54246" w:rsidP="00B37A6A">
      <w:pPr>
        <w:pStyle w:val="EndnoteText"/>
        <w:rPr>
          <w:i/>
        </w:rPr>
      </w:pPr>
      <w:r>
        <w:rPr>
          <w:rStyle w:val="EndnoteReference"/>
        </w:rPr>
        <w:endnoteRef/>
      </w:r>
      <w:r>
        <w:t xml:space="preserve"> </w:t>
      </w:r>
      <w:r w:rsidRPr="00B37A6A">
        <w:rPr>
          <w:i/>
        </w:rPr>
        <w:t>Id.</w:t>
      </w:r>
    </w:p>
    <w:p w14:paraId="58DE2D32" w14:textId="77777777" w:rsidR="00F54246" w:rsidRDefault="00F54246" w:rsidP="00B37A6A">
      <w:pPr>
        <w:pStyle w:val="EndnoteText"/>
      </w:pPr>
    </w:p>
  </w:endnote>
  <w:endnote w:id="27">
    <w:p w14:paraId="5E78C42F" w14:textId="5EA4D260" w:rsidR="00F54246" w:rsidRDefault="00F54246" w:rsidP="00B37A6A">
      <w:pPr>
        <w:pStyle w:val="EndnoteText"/>
      </w:pPr>
      <w:r>
        <w:rPr>
          <w:rStyle w:val="EndnoteReference"/>
        </w:rPr>
        <w:endnoteRef/>
      </w:r>
      <w:r>
        <w:t xml:space="preserve"> </w:t>
      </w:r>
      <w:r w:rsidRPr="00B37A6A">
        <w:t>42 U.S.C. §§ 3610, 3612, and 3614</w:t>
      </w:r>
      <w:r w:rsidR="00894573">
        <w:t>.</w:t>
      </w:r>
    </w:p>
    <w:p w14:paraId="5A0B23ED" w14:textId="77777777" w:rsidR="00F54246" w:rsidRDefault="00F54246" w:rsidP="00B37A6A">
      <w:pPr>
        <w:pStyle w:val="EndnoteText"/>
      </w:pPr>
    </w:p>
  </w:endnote>
  <w:endnote w:id="28">
    <w:p w14:paraId="786E27AA" w14:textId="5B69F233" w:rsidR="00F54246" w:rsidRDefault="00F54246" w:rsidP="00B37A6A">
      <w:pPr>
        <w:pStyle w:val="EndnoteText"/>
      </w:pPr>
      <w:r>
        <w:rPr>
          <w:rStyle w:val="EndnoteReference"/>
        </w:rPr>
        <w:endnoteRef/>
      </w:r>
      <w:r>
        <w:t xml:space="preserve"> </w:t>
      </w:r>
      <w:r w:rsidRPr="00B37A6A">
        <w:rPr>
          <w:i/>
        </w:rPr>
        <w:t>Id.</w:t>
      </w:r>
      <w:r w:rsidRPr="00B37A6A">
        <w:t xml:space="preserve"> § 3613</w:t>
      </w:r>
      <w:r w:rsidR="00894573">
        <w:t>.</w:t>
      </w:r>
    </w:p>
    <w:p w14:paraId="34F4AC87" w14:textId="77777777" w:rsidR="00F54246" w:rsidRDefault="00F54246" w:rsidP="00B37A6A">
      <w:pPr>
        <w:pStyle w:val="EndnoteText"/>
      </w:pPr>
    </w:p>
  </w:endnote>
  <w:endnote w:id="29">
    <w:p w14:paraId="298B95FB" w14:textId="3F7EAF0E" w:rsidR="00F54246" w:rsidRDefault="00F54246" w:rsidP="005E0D7A">
      <w:pPr>
        <w:pStyle w:val="EndnoteText"/>
      </w:pPr>
      <w:r>
        <w:rPr>
          <w:rStyle w:val="EndnoteReference"/>
        </w:rPr>
        <w:endnoteRef/>
      </w:r>
      <w:r>
        <w:t xml:space="preserve"> </w:t>
      </w:r>
      <w:r w:rsidRPr="005E0D7A">
        <w:t>49 U.S.C. § 41705; 14 C.F.R. § 382.11</w:t>
      </w:r>
      <w:r w:rsidR="00894573">
        <w:t>.</w:t>
      </w:r>
    </w:p>
    <w:p w14:paraId="6B0576FA" w14:textId="77777777" w:rsidR="00F54246" w:rsidRDefault="00F54246" w:rsidP="005E0D7A">
      <w:pPr>
        <w:pStyle w:val="EndnoteText"/>
      </w:pPr>
    </w:p>
  </w:endnote>
  <w:endnote w:id="30">
    <w:p w14:paraId="4BB248E2" w14:textId="682B623D" w:rsidR="00F54246" w:rsidRDefault="00F54246" w:rsidP="005E0D7A">
      <w:pPr>
        <w:pStyle w:val="EndnoteText"/>
      </w:pPr>
      <w:r>
        <w:rPr>
          <w:rStyle w:val="EndnoteReference"/>
        </w:rPr>
        <w:endnoteRef/>
      </w:r>
      <w:r>
        <w:t xml:space="preserve"> </w:t>
      </w:r>
      <w:r w:rsidRPr="005E0D7A">
        <w:t>14 C.F.R. §§ 382.117(a) and 382.31(a)</w:t>
      </w:r>
      <w:r w:rsidR="00894573">
        <w:t>.</w:t>
      </w:r>
    </w:p>
    <w:p w14:paraId="11A2EDE1" w14:textId="77777777" w:rsidR="00F54246" w:rsidRDefault="00F54246" w:rsidP="005E0D7A">
      <w:pPr>
        <w:pStyle w:val="EndnoteText"/>
      </w:pPr>
    </w:p>
  </w:endnote>
  <w:endnote w:id="31">
    <w:p w14:paraId="328C9A2B" w14:textId="6F511AEE" w:rsidR="00F54246" w:rsidRDefault="00F54246" w:rsidP="005E0D7A">
      <w:pPr>
        <w:pStyle w:val="EndnoteText"/>
      </w:pPr>
      <w:r>
        <w:rPr>
          <w:rStyle w:val="EndnoteReference"/>
        </w:rPr>
        <w:endnoteRef/>
      </w:r>
      <w:r>
        <w:t xml:space="preserve"> </w:t>
      </w:r>
      <w:r w:rsidRPr="005E0D7A">
        <w:rPr>
          <w:i/>
        </w:rPr>
        <w:t>Id</w:t>
      </w:r>
      <w:r w:rsidRPr="005E0D7A">
        <w:t>. § 382.117</w:t>
      </w:r>
      <w:r w:rsidR="0069481B">
        <w:t>(d)-(e)</w:t>
      </w:r>
      <w:r>
        <w:t>.</w:t>
      </w:r>
    </w:p>
    <w:p w14:paraId="57033DC2" w14:textId="77777777" w:rsidR="00F54246" w:rsidRDefault="00F54246" w:rsidP="005E0D7A">
      <w:pPr>
        <w:pStyle w:val="EndnoteText"/>
      </w:pPr>
    </w:p>
  </w:endnote>
  <w:endnote w:id="32">
    <w:p w14:paraId="32652906" w14:textId="4BF711EF" w:rsidR="00F54246" w:rsidRDefault="00F54246" w:rsidP="005E0D7A">
      <w:pPr>
        <w:pStyle w:val="EndnoteText"/>
        <w:rPr>
          <w:i/>
        </w:rPr>
      </w:pPr>
      <w:r>
        <w:rPr>
          <w:rStyle w:val="EndnoteReference"/>
        </w:rPr>
        <w:endnoteRef/>
      </w:r>
      <w:r>
        <w:t xml:space="preserve"> </w:t>
      </w:r>
      <w:r w:rsidRPr="005E0D7A">
        <w:rPr>
          <w:i/>
        </w:rPr>
        <w:t>Id.</w:t>
      </w:r>
      <w:r w:rsidR="0069481B" w:rsidRPr="0069481B">
        <w:t xml:space="preserve"> </w:t>
      </w:r>
      <w:r w:rsidR="0069481B" w:rsidRPr="005E0D7A">
        <w:t>§ 382.117</w:t>
      </w:r>
      <w:r w:rsidR="0069481B">
        <w:t>(f).</w:t>
      </w:r>
    </w:p>
    <w:p w14:paraId="6DE39415" w14:textId="77777777" w:rsidR="00F54246" w:rsidRDefault="00F54246" w:rsidP="005E0D7A">
      <w:pPr>
        <w:pStyle w:val="EndnoteText"/>
      </w:pPr>
    </w:p>
  </w:endnote>
  <w:endnote w:id="33">
    <w:p w14:paraId="4EB4DFB7" w14:textId="77777777" w:rsidR="00F54246" w:rsidRDefault="00F54246" w:rsidP="005E0D7A">
      <w:pPr>
        <w:pStyle w:val="EndnoteText"/>
        <w:rPr>
          <w:i/>
        </w:rPr>
      </w:pPr>
      <w:r>
        <w:rPr>
          <w:rStyle w:val="EndnoteReference"/>
        </w:rPr>
        <w:endnoteRef/>
      </w:r>
      <w:r>
        <w:t xml:space="preserve"> </w:t>
      </w:r>
      <w:r w:rsidRPr="005E0D7A">
        <w:rPr>
          <w:i/>
        </w:rPr>
        <w:t>Id.</w:t>
      </w:r>
    </w:p>
    <w:p w14:paraId="0BF75383" w14:textId="77777777" w:rsidR="00F54246" w:rsidRDefault="00F54246" w:rsidP="005E0D7A">
      <w:pPr>
        <w:pStyle w:val="EndnoteText"/>
      </w:pPr>
    </w:p>
  </w:endnote>
  <w:endnote w:id="34">
    <w:p w14:paraId="4A6A55C7" w14:textId="77777777" w:rsidR="00F54246" w:rsidRDefault="00F54246" w:rsidP="005E0D7A">
      <w:pPr>
        <w:pStyle w:val="EndnoteText"/>
        <w:rPr>
          <w:i/>
        </w:rPr>
      </w:pPr>
      <w:r>
        <w:rPr>
          <w:rStyle w:val="EndnoteReference"/>
        </w:rPr>
        <w:endnoteRef/>
      </w:r>
      <w:r>
        <w:t xml:space="preserve"> </w:t>
      </w:r>
      <w:r w:rsidRPr="005E0D7A">
        <w:rPr>
          <w:i/>
        </w:rPr>
        <w:t>Id.</w:t>
      </w:r>
    </w:p>
    <w:p w14:paraId="6C6992D3" w14:textId="77777777" w:rsidR="00F54246" w:rsidRDefault="00F54246" w:rsidP="005E0D7A">
      <w:pPr>
        <w:pStyle w:val="EndnoteText"/>
      </w:pPr>
    </w:p>
  </w:endnote>
  <w:endnote w:id="35">
    <w:p w14:paraId="29329932" w14:textId="16F1846D" w:rsidR="00F54246" w:rsidRDefault="00F54246" w:rsidP="005E0D7A">
      <w:pPr>
        <w:pStyle w:val="EndnoteText"/>
        <w:rPr>
          <w:i/>
        </w:rPr>
      </w:pPr>
      <w:r>
        <w:rPr>
          <w:rStyle w:val="EndnoteReference"/>
        </w:rPr>
        <w:endnoteRef/>
      </w:r>
      <w:r>
        <w:t xml:space="preserve"> </w:t>
      </w:r>
      <w:r w:rsidRPr="005E0D7A">
        <w:rPr>
          <w:i/>
        </w:rPr>
        <w:t>Id.</w:t>
      </w:r>
      <w:r w:rsidR="00BF70CE" w:rsidRPr="00BF70CE">
        <w:t xml:space="preserve"> </w:t>
      </w:r>
      <w:r w:rsidR="00BF70CE" w:rsidRPr="005E0D7A">
        <w:t>§ 382.117</w:t>
      </w:r>
      <w:r w:rsidR="00BF70CE">
        <w:t>(d).</w:t>
      </w:r>
    </w:p>
    <w:p w14:paraId="152BE66A" w14:textId="77777777" w:rsidR="00F54246" w:rsidRDefault="00F54246" w:rsidP="005E0D7A">
      <w:pPr>
        <w:pStyle w:val="EndnoteText"/>
      </w:pPr>
    </w:p>
  </w:endnote>
  <w:endnote w:id="36">
    <w:p w14:paraId="50331C6A" w14:textId="7750EE08" w:rsidR="00F54246" w:rsidRDefault="00F54246" w:rsidP="005E0D7A">
      <w:pPr>
        <w:pStyle w:val="EndnoteText"/>
        <w:rPr>
          <w:i/>
        </w:rPr>
      </w:pPr>
      <w:r>
        <w:rPr>
          <w:rStyle w:val="EndnoteReference"/>
        </w:rPr>
        <w:endnoteRef/>
      </w:r>
      <w:r>
        <w:t xml:space="preserve"> </w:t>
      </w:r>
      <w:r w:rsidRPr="005E0D7A">
        <w:rPr>
          <w:i/>
        </w:rPr>
        <w:t>Id.</w:t>
      </w:r>
      <w:r w:rsidR="00861A37" w:rsidRPr="00861A37">
        <w:t xml:space="preserve"> </w:t>
      </w:r>
      <w:r w:rsidR="00861A37" w:rsidRPr="005E0D7A">
        <w:t>§ 382.117</w:t>
      </w:r>
      <w:r w:rsidR="00861A37">
        <w:t>(e).</w:t>
      </w:r>
    </w:p>
    <w:p w14:paraId="53D5F948" w14:textId="77777777" w:rsidR="00F54246" w:rsidRDefault="00F54246" w:rsidP="005E0D7A">
      <w:pPr>
        <w:pStyle w:val="EndnoteText"/>
      </w:pPr>
    </w:p>
  </w:endnote>
  <w:endnote w:id="37">
    <w:p w14:paraId="52C912C7" w14:textId="77777777" w:rsidR="00F54246" w:rsidRDefault="00F54246" w:rsidP="005E0D7A">
      <w:pPr>
        <w:pStyle w:val="EndnoteText"/>
      </w:pPr>
      <w:r>
        <w:rPr>
          <w:rStyle w:val="EndnoteReference"/>
        </w:rPr>
        <w:endnoteRef/>
      </w:r>
      <w:r>
        <w:t xml:space="preserve"> </w:t>
      </w:r>
      <w:r w:rsidRPr="005E0D7A">
        <w:t>14 C.F.R. § 382.159</w:t>
      </w:r>
      <w:r>
        <w:t>.</w:t>
      </w:r>
    </w:p>
    <w:p w14:paraId="06E22B0C" w14:textId="77777777" w:rsidR="00F54246" w:rsidRPr="003B3CDD" w:rsidRDefault="00F54246" w:rsidP="005E0D7A">
      <w:pPr>
        <w:pStyle w:val="EndnoteText"/>
      </w:pPr>
    </w:p>
  </w:endnote>
  <w:endnote w:id="38">
    <w:p w14:paraId="2D9A1B2A" w14:textId="15831459" w:rsidR="00F54246" w:rsidRDefault="00F54246" w:rsidP="005E0D7A">
      <w:pPr>
        <w:pStyle w:val="EndnoteText"/>
      </w:pPr>
      <w:r>
        <w:rPr>
          <w:rStyle w:val="EndnoteReference"/>
        </w:rPr>
        <w:endnoteRef/>
      </w:r>
      <w:r>
        <w:t xml:space="preserve"> </w:t>
      </w:r>
      <w:r w:rsidRPr="005E0D7A">
        <w:rPr>
          <w:i/>
        </w:rPr>
        <w:t>See Stokes v. S</w:t>
      </w:r>
      <w:r w:rsidR="00894573">
        <w:rPr>
          <w:i/>
        </w:rPr>
        <w:t>w.</w:t>
      </w:r>
      <w:r w:rsidRPr="005E0D7A">
        <w:rPr>
          <w:i/>
        </w:rPr>
        <w:t xml:space="preserve"> Airlines</w:t>
      </w:r>
      <w:r w:rsidRPr="005E0D7A">
        <w:t>, 887 F.3d 199 (5th Cir. 2018)</w:t>
      </w:r>
      <w:r>
        <w:t xml:space="preserve">. </w:t>
      </w:r>
    </w:p>
    <w:p w14:paraId="0C10EFC1" w14:textId="77777777" w:rsidR="00F54246" w:rsidRDefault="00F54246" w:rsidP="005E0D7A">
      <w:pPr>
        <w:pStyle w:val="EndnoteText"/>
      </w:pPr>
    </w:p>
  </w:endnote>
  <w:endnote w:id="39">
    <w:p w14:paraId="00CA7C42" w14:textId="77777777" w:rsidR="00F54246" w:rsidRDefault="00F54246" w:rsidP="009F7671">
      <w:pPr>
        <w:pStyle w:val="EndnoteText"/>
      </w:pPr>
      <w:r>
        <w:rPr>
          <w:rStyle w:val="EndnoteReference"/>
        </w:rPr>
        <w:endnoteRef/>
      </w:r>
      <w:r>
        <w:t xml:space="preserve"> </w:t>
      </w:r>
      <w:r w:rsidRPr="009F7671">
        <w:t>Tex. Hum. Res. Code §</w:t>
      </w:r>
      <w:r>
        <w:t xml:space="preserve"> </w:t>
      </w:r>
      <w:r w:rsidRPr="009F7671">
        <w:t>121.003(c)</w:t>
      </w:r>
      <w:r>
        <w:t>.</w:t>
      </w:r>
    </w:p>
    <w:p w14:paraId="730DABD7" w14:textId="77777777" w:rsidR="00F54246" w:rsidRDefault="00F54246" w:rsidP="009F7671">
      <w:pPr>
        <w:pStyle w:val="EndnoteText"/>
      </w:pPr>
    </w:p>
  </w:endnote>
  <w:endnote w:id="40">
    <w:p w14:paraId="6E865C54" w14:textId="77777777" w:rsidR="00F54246" w:rsidRDefault="00F54246" w:rsidP="009F7671">
      <w:pPr>
        <w:pStyle w:val="EndnoteText"/>
      </w:pPr>
      <w:r>
        <w:rPr>
          <w:rStyle w:val="EndnoteReference"/>
        </w:rPr>
        <w:endnoteRef/>
      </w:r>
      <w:r>
        <w:t xml:space="preserve"> </w:t>
      </w:r>
      <w:r w:rsidRPr="002168A6">
        <w:rPr>
          <w:i/>
        </w:rPr>
        <w:t>Id</w:t>
      </w:r>
      <w:r>
        <w:t>.</w:t>
      </w:r>
      <w:r w:rsidRPr="009F7671">
        <w:t xml:space="preserve"> § 121.002(5)</w:t>
      </w:r>
      <w:r>
        <w:t>.</w:t>
      </w:r>
    </w:p>
    <w:p w14:paraId="3390E63F" w14:textId="77777777" w:rsidR="00F54246" w:rsidRPr="00C322B4" w:rsidRDefault="00F54246" w:rsidP="009F7671">
      <w:pPr>
        <w:pStyle w:val="EndnoteText"/>
        <w:rPr>
          <w:color w:val="FF0000"/>
          <w:u w:val="single"/>
        </w:rPr>
      </w:pPr>
    </w:p>
  </w:endnote>
  <w:endnote w:id="41">
    <w:p w14:paraId="58DDCFBC" w14:textId="77777777" w:rsidR="00F54246" w:rsidRDefault="00F54246" w:rsidP="009F7671">
      <w:pPr>
        <w:pStyle w:val="EndnoteText"/>
      </w:pPr>
      <w:r>
        <w:rPr>
          <w:rStyle w:val="EndnoteReference"/>
        </w:rPr>
        <w:endnoteRef/>
      </w:r>
      <w:r>
        <w:t xml:space="preserve"> </w:t>
      </w:r>
      <w:r w:rsidRPr="009F7671">
        <w:rPr>
          <w:i/>
        </w:rPr>
        <w:t>Livingston v. Beeman</w:t>
      </w:r>
      <w:r w:rsidRPr="009F7671">
        <w:t xml:space="preserve">, 408 S.W.3d 566, 567-68 (Tex. App.—Austin 2013) (internal quotations omitted), </w:t>
      </w:r>
      <w:r w:rsidRPr="009F7671">
        <w:rPr>
          <w:i/>
        </w:rPr>
        <w:t>aff’d</w:t>
      </w:r>
      <w:r w:rsidRPr="009F7671">
        <w:t>, 468 S.W.3d 534 (Tex. 2015).</w:t>
      </w:r>
    </w:p>
    <w:p w14:paraId="507738C3" w14:textId="77777777" w:rsidR="00F54246" w:rsidRDefault="00F54246" w:rsidP="009F7671">
      <w:pPr>
        <w:pStyle w:val="EndnoteText"/>
      </w:pPr>
    </w:p>
  </w:endnote>
  <w:endnote w:id="42">
    <w:p w14:paraId="08C96609" w14:textId="77777777" w:rsidR="00F54246" w:rsidRDefault="00F54246" w:rsidP="009F7671">
      <w:pPr>
        <w:pStyle w:val="EndnoteText"/>
      </w:pPr>
      <w:r>
        <w:rPr>
          <w:rStyle w:val="EndnoteReference"/>
        </w:rPr>
        <w:endnoteRef/>
      </w:r>
      <w:r>
        <w:t xml:space="preserve"> </w:t>
      </w:r>
      <w:r w:rsidRPr="009F7671">
        <w:t>Tex. Hum. Res. Code § 121.003(i)</w:t>
      </w:r>
      <w:r>
        <w:t>.</w:t>
      </w:r>
    </w:p>
    <w:p w14:paraId="315C2EE7" w14:textId="77777777" w:rsidR="00F54246" w:rsidRDefault="00F54246" w:rsidP="009F7671">
      <w:pPr>
        <w:pStyle w:val="EndnoteText"/>
      </w:pPr>
    </w:p>
  </w:endnote>
  <w:endnote w:id="43">
    <w:p w14:paraId="38802045" w14:textId="77777777" w:rsidR="00F54246" w:rsidRDefault="00F54246" w:rsidP="009F7671">
      <w:pPr>
        <w:pStyle w:val="EndnoteText"/>
      </w:pPr>
      <w:r>
        <w:rPr>
          <w:rStyle w:val="EndnoteReference"/>
        </w:rPr>
        <w:endnoteRef/>
      </w:r>
      <w:r>
        <w:t xml:space="preserve"> </w:t>
      </w:r>
      <w:r w:rsidRPr="0034721B">
        <w:rPr>
          <w:i/>
        </w:rPr>
        <w:t>Id</w:t>
      </w:r>
      <w:r>
        <w:t>.</w:t>
      </w:r>
      <w:r w:rsidRPr="009F7671">
        <w:t xml:space="preserve"> § 121.003(j)</w:t>
      </w:r>
      <w:r>
        <w:t>.</w:t>
      </w:r>
    </w:p>
    <w:p w14:paraId="2662D46E" w14:textId="77777777" w:rsidR="00F54246" w:rsidRDefault="00F54246" w:rsidP="009F7671">
      <w:pPr>
        <w:pStyle w:val="EndnoteText"/>
      </w:pPr>
    </w:p>
  </w:endnote>
  <w:endnote w:id="44">
    <w:p w14:paraId="387C3FE0" w14:textId="18D0D157" w:rsidR="00F54246" w:rsidRDefault="00F54246" w:rsidP="009F7671">
      <w:pPr>
        <w:pStyle w:val="EndnoteText"/>
      </w:pPr>
      <w:r>
        <w:rPr>
          <w:rStyle w:val="EndnoteReference"/>
        </w:rPr>
        <w:endnoteRef/>
      </w:r>
      <w:r>
        <w:t xml:space="preserve"> </w:t>
      </w:r>
      <w:r w:rsidRPr="0034721B">
        <w:rPr>
          <w:i/>
        </w:rPr>
        <w:t>Id</w:t>
      </w:r>
      <w:r w:rsidRPr="009F7671">
        <w:t>. §</w:t>
      </w:r>
      <w:r w:rsidR="00894573">
        <w:t xml:space="preserve"> </w:t>
      </w:r>
      <w:r w:rsidRPr="009F7671">
        <w:t>121.003(h)</w:t>
      </w:r>
      <w:r>
        <w:t>.</w:t>
      </w:r>
    </w:p>
    <w:p w14:paraId="11AB4BE5" w14:textId="77777777" w:rsidR="00F54246" w:rsidRDefault="00F54246" w:rsidP="009F7671">
      <w:pPr>
        <w:pStyle w:val="EndnoteText"/>
      </w:pPr>
    </w:p>
  </w:endnote>
  <w:endnote w:id="45">
    <w:p w14:paraId="738B49A9" w14:textId="77777777" w:rsidR="00F54246" w:rsidRDefault="00F54246" w:rsidP="009F7671">
      <w:pPr>
        <w:pStyle w:val="EndnoteText"/>
        <w:rPr>
          <w:i/>
        </w:rPr>
      </w:pPr>
      <w:r>
        <w:rPr>
          <w:rStyle w:val="EndnoteReference"/>
        </w:rPr>
        <w:endnoteRef/>
      </w:r>
      <w:r>
        <w:t xml:space="preserve"> </w:t>
      </w:r>
      <w:r w:rsidRPr="009F7671">
        <w:rPr>
          <w:i/>
        </w:rPr>
        <w:t>Id.</w:t>
      </w:r>
    </w:p>
    <w:p w14:paraId="4195BE72" w14:textId="77777777" w:rsidR="00F54246" w:rsidRDefault="00F54246" w:rsidP="009F7671">
      <w:pPr>
        <w:pStyle w:val="EndnoteText"/>
      </w:pPr>
    </w:p>
  </w:endnote>
  <w:endnote w:id="46">
    <w:p w14:paraId="28B8048A" w14:textId="77777777" w:rsidR="00F54246" w:rsidRDefault="00F54246" w:rsidP="009F7671">
      <w:pPr>
        <w:pStyle w:val="EndnoteText"/>
      </w:pPr>
      <w:r>
        <w:rPr>
          <w:rStyle w:val="EndnoteReference"/>
        </w:rPr>
        <w:endnoteRef/>
      </w:r>
      <w:r>
        <w:t xml:space="preserve"> </w:t>
      </w:r>
      <w:r w:rsidRPr="009F7671">
        <w:t>Tex. Hum. Res. Code §§ 121.004 and 121.006</w:t>
      </w:r>
      <w:r>
        <w:t>.</w:t>
      </w:r>
    </w:p>
    <w:p w14:paraId="3692F5E7" w14:textId="77777777" w:rsidR="00F54246" w:rsidRDefault="00F54246" w:rsidP="009F7671">
      <w:pPr>
        <w:pStyle w:val="EndnoteText"/>
      </w:pPr>
    </w:p>
  </w:endnote>
  <w:endnote w:id="47">
    <w:p w14:paraId="3EF07B9B" w14:textId="60B065C8" w:rsidR="00F54246" w:rsidRDefault="00F54246" w:rsidP="009F7671">
      <w:pPr>
        <w:pStyle w:val="EndnoteText"/>
        <w:rPr>
          <w:i/>
        </w:rPr>
      </w:pPr>
      <w:r>
        <w:rPr>
          <w:rStyle w:val="EndnoteReference"/>
        </w:rPr>
        <w:endnoteRef/>
      </w:r>
      <w:r>
        <w:t xml:space="preserve"> </w:t>
      </w:r>
      <w:r w:rsidR="00784702" w:rsidRPr="009F7671">
        <w:t>Tex. Hum. Res. Code §§ 121.004 and 121.006</w:t>
      </w:r>
      <w:r w:rsidR="00784702">
        <w:t>.</w:t>
      </w:r>
    </w:p>
    <w:p w14:paraId="2AC2B73C" w14:textId="77777777" w:rsidR="00F54246" w:rsidRDefault="00F54246" w:rsidP="009F7671">
      <w:pPr>
        <w:pStyle w:val="EndnoteText"/>
      </w:pPr>
    </w:p>
  </w:endnote>
  <w:endnote w:id="48">
    <w:p w14:paraId="0AFC4F0B" w14:textId="77777777" w:rsidR="00F54246" w:rsidRDefault="00F54246" w:rsidP="009F7671">
      <w:pPr>
        <w:pStyle w:val="EndnoteText"/>
      </w:pPr>
      <w:r>
        <w:rPr>
          <w:rStyle w:val="EndnoteReference"/>
        </w:rPr>
        <w:endnoteRef/>
      </w:r>
      <w:r>
        <w:t xml:space="preserve"> </w:t>
      </w:r>
      <w:r w:rsidRPr="009F7671">
        <w:t>Tex. Att’y Gen. Op. No. JM-1089 (1989)</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QXRD W+ Times New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AD8D" w14:textId="77777777" w:rsidR="00F54246" w:rsidRDefault="00F54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5789" w14:textId="77777777" w:rsidR="00F54246" w:rsidRDefault="00F54246">
    <w:pPr>
      <w:pStyle w:val="Footer"/>
      <w:jc w:val="right"/>
    </w:pPr>
  </w:p>
  <w:p w14:paraId="76D0DB0A" w14:textId="77777777" w:rsidR="00F54246" w:rsidRDefault="00F54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3CAD" w14:textId="77777777" w:rsidR="00F54246" w:rsidRDefault="00F542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82FE" w14:textId="77777777" w:rsidR="00F54246" w:rsidRDefault="00F542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466879"/>
      <w:docPartObj>
        <w:docPartGallery w:val="Page Numbers (Bottom of Page)"/>
        <w:docPartUnique/>
      </w:docPartObj>
    </w:sdtPr>
    <w:sdtEndPr>
      <w:rPr>
        <w:noProof/>
      </w:rPr>
    </w:sdtEndPr>
    <w:sdtContent>
      <w:p w14:paraId="6918487F" w14:textId="55B8F66B" w:rsidR="00F54246" w:rsidRDefault="00F54246">
        <w:pPr>
          <w:pStyle w:val="Footer"/>
          <w:jc w:val="center"/>
        </w:pPr>
        <w:r>
          <w:fldChar w:fldCharType="begin"/>
        </w:r>
        <w:r>
          <w:instrText xml:space="preserve"> PAGE   \* MERGEFORMAT </w:instrText>
        </w:r>
        <w:r>
          <w:fldChar w:fldCharType="separate"/>
        </w:r>
        <w:r w:rsidR="00C241B6">
          <w:rPr>
            <w:noProof/>
          </w:rPr>
          <w:t>4</w:t>
        </w:r>
        <w:r>
          <w:rPr>
            <w:noProof/>
          </w:rPr>
          <w:fldChar w:fldCharType="end"/>
        </w:r>
      </w:p>
    </w:sdtContent>
  </w:sdt>
  <w:p w14:paraId="63A20E65" w14:textId="77777777" w:rsidR="00F54246" w:rsidRDefault="00F542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ACA5" w14:textId="77777777" w:rsidR="00F54246" w:rsidRDefault="00F54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AF61" w14:textId="77777777" w:rsidR="0064644B" w:rsidRDefault="0064644B" w:rsidP="00C25FEB">
      <w:pPr>
        <w:spacing w:after="0" w:line="240" w:lineRule="auto"/>
      </w:pPr>
      <w:r>
        <w:separator/>
      </w:r>
    </w:p>
  </w:footnote>
  <w:footnote w:type="continuationSeparator" w:id="0">
    <w:p w14:paraId="203BC11A" w14:textId="77777777" w:rsidR="0064644B" w:rsidRDefault="0064644B" w:rsidP="00C2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86BA" w14:textId="77777777" w:rsidR="00F54246" w:rsidRDefault="00F5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32C2" w14:textId="77777777" w:rsidR="00F54246" w:rsidRDefault="00F54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C07D" w14:textId="77777777" w:rsidR="00F54246" w:rsidRDefault="00F542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B0F4" w14:textId="2DBD12D7" w:rsidR="00F54246" w:rsidRDefault="00F542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FFCD" w14:textId="498896A0" w:rsidR="00F54246" w:rsidRDefault="00F542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5BB6" w14:textId="43805802" w:rsidR="00F54246" w:rsidRDefault="00F5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19"/>
    <w:multiLevelType w:val="hybridMultilevel"/>
    <w:tmpl w:val="50E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5F9C"/>
    <w:multiLevelType w:val="hybridMultilevel"/>
    <w:tmpl w:val="7DB87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27D35"/>
    <w:multiLevelType w:val="hybridMultilevel"/>
    <w:tmpl w:val="52C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E75E4"/>
    <w:multiLevelType w:val="hybridMultilevel"/>
    <w:tmpl w:val="11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C78A6"/>
    <w:multiLevelType w:val="hybridMultilevel"/>
    <w:tmpl w:val="8E58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5E5895"/>
    <w:multiLevelType w:val="hybridMultilevel"/>
    <w:tmpl w:val="194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02F1"/>
    <w:multiLevelType w:val="hybridMultilevel"/>
    <w:tmpl w:val="0A9E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113A4"/>
    <w:multiLevelType w:val="hybridMultilevel"/>
    <w:tmpl w:val="6E7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41AA0"/>
    <w:multiLevelType w:val="hybridMultilevel"/>
    <w:tmpl w:val="2686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B7C75"/>
    <w:multiLevelType w:val="hybridMultilevel"/>
    <w:tmpl w:val="F460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BA4B68"/>
    <w:multiLevelType w:val="hybridMultilevel"/>
    <w:tmpl w:val="3D2E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1E6D6A"/>
    <w:multiLevelType w:val="hybridMultilevel"/>
    <w:tmpl w:val="9318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427D3"/>
    <w:multiLevelType w:val="hybridMultilevel"/>
    <w:tmpl w:val="0366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F22C4"/>
    <w:multiLevelType w:val="hybridMultilevel"/>
    <w:tmpl w:val="E4A67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BF46B6"/>
    <w:multiLevelType w:val="hybridMultilevel"/>
    <w:tmpl w:val="D336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90117"/>
    <w:multiLevelType w:val="hybridMultilevel"/>
    <w:tmpl w:val="CCA4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B46DB"/>
    <w:multiLevelType w:val="hybridMultilevel"/>
    <w:tmpl w:val="02BE9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A64468"/>
    <w:multiLevelType w:val="hybridMultilevel"/>
    <w:tmpl w:val="6CEE6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624244"/>
    <w:multiLevelType w:val="hybridMultilevel"/>
    <w:tmpl w:val="BC385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535575"/>
    <w:multiLevelType w:val="hybridMultilevel"/>
    <w:tmpl w:val="5652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2473C"/>
    <w:multiLevelType w:val="hybridMultilevel"/>
    <w:tmpl w:val="3824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23FB5"/>
    <w:multiLevelType w:val="hybridMultilevel"/>
    <w:tmpl w:val="AC6E7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182DDC"/>
    <w:multiLevelType w:val="hybridMultilevel"/>
    <w:tmpl w:val="840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024E0"/>
    <w:multiLevelType w:val="hybridMultilevel"/>
    <w:tmpl w:val="BC267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2F363E"/>
    <w:multiLevelType w:val="hybridMultilevel"/>
    <w:tmpl w:val="296E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A3A72"/>
    <w:multiLevelType w:val="hybridMultilevel"/>
    <w:tmpl w:val="F1ACE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E518F"/>
    <w:multiLevelType w:val="hybridMultilevel"/>
    <w:tmpl w:val="47F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F7E68"/>
    <w:multiLevelType w:val="hybridMultilevel"/>
    <w:tmpl w:val="563C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2245E"/>
    <w:multiLevelType w:val="hybridMultilevel"/>
    <w:tmpl w:val="CA6C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D58DE"/>
    <w:multiLevelType w:val="hybridMultilevel"/>
    <w:tmpl w:val="1C3C8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25F90"/>
    <w:multiLevelType w:val="hybridMultilevel"/>
    <w:tmpl w:val="DCBA7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DB0DE3"/>
    <w:multiLevelType w:val="hybridMultilevel"/>
    <w:tmpl w:val="BF7E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A0570"/>
    <w:multiLevelType w:val="hybridMultilevel"/>
    <w:tmpl w:val="7E8C5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3C9744D"/>
    <w:multiLevelType w:val="hybridMultilevel"/>
    <w:tmpl w:val="1CAC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E1646"/>
    <w:multiLevelType w:val="hybridMultilevel"/>
    <w:tmpl w:val="3FB2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61B97"/>
    <w:multiLevelType w:val="multilevel"/>
    <w:tmpl w:val="59F4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6E7ECF"/>
    <w:multiLevelType w:val="hybridMultilevel"/>
    <w:tmpl w:val="27F8C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291EE8"/>
    <w:multiLevelType w:val="hybridMultilevel"/>
    <w:tmpl w:val="BA98F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F52250"/>
    <w:multiLevelType w:val="hybridMultilevel"/>
    <w:tmpl w:val="2704140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8"/>
  </w:num>
  <w:num w:numId="7">
    <w:abstractNumId w:val="35"/>
  </w:num>
  <w:num w:numId="8">
    <w:abstractNumId w:val="7"/>
  </w:num>
  <w:num w:numId="9">
    <w:abstractNumId w:val="10"/>
  </w:num>
  <w:num w:numId="10">
    <w:abstractNumId w:val="23"/>
  </w:num>
  <w:num w:numId="11">
    <w:abstractNumId w:val="16"/>
  </w:num>
  <w:num w:numId="12">
    <w:abstractNumId w:val="30"/>
  </w:num>
  <w:num w:numId="13">
    <w:abstractNumId w:val="22"/>
  </w:num>
  <w:num w:numId="14">
    <w:abstractNumId w:val="5"/>
  </w:num>
  <w:num w:numId="15">
    <w:abstractNumId w:val="25"/>
  </w:num>
  <w:num w:numId="16">
    <w:abstractNumId w:val="31"/>
  </w:num>
  <w:num w:numId="17">
    <w:abstractNumId w:val="0"/>
  </w:num>
  <w:num w:numId="18">
    <w:abstractNumId w:val="1"/>
  </w:num>
  <w:num w:numId="19">
    <w:abstractNumId w:val="38"/>
  </w:num>
  <w:num w:numId="20">
    <w:abstractNumId w:val="21"/>
  </w:num>
  <w:num w:numId="21">
    <w:abstractNumId w:val="20"/>
  </w:num>
  <w:num w:numId="22">
    <w:abstractNumId w:val="12"/>
  </w:num>
  <w:num w:numId="23">
    <w:abstractNumId w:val="18"/>
  </w:num>
  <w:num w:numId="24">
    <w:abstractNumId w:val="36"/>
  </w:num>
  <w:num w:numId="25">
    <w:abstractNumId w:val="9"/>
  </w:num>
  <w:num w:numId="26">
    <w:abstractNumId w:val="26"/>
  </w:num>
  <w:num w:numId="27">
    <w:abstractNumId w:val="15"/>
  </w:num>
  <w:num w:numId="28">
    <w:abstractNumId w:val="27"/>
  </w:num>
  <w:num w:numId="29">
    <w:abstractNumId w:val="4"/>
  </w:num>
  <w:num w:numId="30">
    <w:abstractNumId w:val="17"/>
  </w:num>
  <w:num w:numId="31">
    <w:abstractNumId w:val="37"/>
  </w:num>
  <w:num w:numId="32">
    <w:abstractNumId w:val="11"/>
  </w:num>
  <w:num w:numId="33">
    <w:abstractNumId w:val="34"/>
  </w:num>
  <w:num w:numId="34">
    <w:abstractNumId w:val="32"/>
  </w:num>
  <w:num w:numId="35">
    <w:abstractNumId w:val="8"/>
  </w:num>
  <w:num w:numId="36">
    <w:abstractNumId w:val="29"/>
  </w:num>
  <w:num w:numId="37">
    <w:abstractNumId w:val="6"/>
  </w:num>
  <w:num w:numId="38">
    <w:abstractNumId w:val="24"/>
  </w:num>
  <w:num w:numId="39">
    <w:abstractNumId w:val="3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D2"/>
    <w:rsid w:val="000062BF"/>
    <w:rsid w:val="00006A06"/>
    <w:rsid w:val="000206E1"/>
    <w:rsid w:val="00023522"/>
    <w:rsid w:val="00030294"/>
    <w:rsid w:val="00031329"/>
    <w:rsid w:val="0005159B"/>
    <w:rsid w:val="000527C0"/>
    <w:rsid w:val="000553A5"/>
    <w:rsid w:val="00077290"/>
    <w:rsid w:val="00081A8C"/>
    <w:rsid w:val="000C5805"/>
    <w:rsid w:val="000C60BC"/>
    <w:rsid w:val="000C7F10"/>
    <w:rsid w:val="000D3CEB"/>
    <w:rsid w:val="000D590A"/>
    <w:rsid w:val="000E2151"/>
    <w:rsid w:val="000E7574"/>
    <w:rsid w:val="000F51C3"/>
    <w:rsid w:val="00101628"/>
    <w:rsid w:val="001076DB"/>
    <w:rsid w:val="00116260"/>
    <w:rsid w:val="00120D42"/>
    <w:rsid w:val="00122A15"/>
    <w:rsid w:val="00133D77"/>
    <w:rsid w:val="00134346"/>
    <w:rsid w:val="001379A3"/>
    <w:rsid w:val="00141411"/>
    <w:rsid w:val="0014538C"/>
    <w:rsid w:val="001464E4"/>
    <w:rsid w:val="001466F5"/>
    <w:rsid w:val="001552DC"/>
    <w:rsid w:val="0015534E"/>
    <w:rsid w:val="00164AD6"/>
    <w:rsid w:val="0016587F"/>
    <w:rsid w:val="00193EFA"/>
    <w:rsid w:val="001A03D9"/>
    <w:rsid w:val="001A38FA"/>
    <w:rsid w:val="001A77B1"/>
    <w:rsid w:val="001D0DE8"/>
    <w:rsid w:val="001E2B42"/>
    <w:rsid w:val="001E4F52"/>
    <w:rsid w:val="001F2569"/>
    <w:rsid w:val="001F7447"/>
    <w:rsid w:val="0020420F"/>
    <w:rsid w:val="00213744"/>
    <w:rsid w:val="002168A6"/>
    <w:rsid w:val="00234D97"/>
    <w:rsid w:val="00241413"/>
    <w:rsid w:val="00250D1D"/>
    <w:rsid w:val="002519BA"/>
    <w:rsid w:val="00267199"/>
    <w:rsid w:val="00271E41"/>
    <w:rsid w:val="002747B5"/>
    <w:rsid w:val="00277B15"/>
    <w:rsid w:val="00293B9C"/>
    <w:rsid w:val="00293D92"/>
    <w:rsid w:val="0029420D"/>
    <w:rsid w:val="00295853"/>
    <w:rsid w:val="002A2108"/>
    <w:rsid w:val="002C6F44"/>
    <w:rsid w:val="002D25DA"/>
    <w:rsid w:val="002D3E98"/>
    <w:rsid w:val="002D42DA"/>
    <w:rsid w:val="002F11D0"/>
    <w:rsid w:val="002F334D"/>
    <w:rsid w:val="002F3E8B"/>
    <w:rsid w:val="002F54DC"/>
    <w:rsid w:val="00301AF1"/>
    <w:rsid w:val="00315412"/>
    <w:rsid w:val="003222CC"/>
    <w:rsid w:val="00322FF3"/>
    <w:rsid w:val="0034721B"/>
    <w:rsid w:val="0035165B"/>
    <w:rsid w:val="00357404"/>
    <w:rsid w:val="00357436"/>
    <w:rsid w:val="00365ED9"/>
    <w:rsid w:val="00377691"/>
    <w:rsid w:val="0039043F"/>
    <w:rsid w:val="00390B08"/>
    <w:rsid w:val="00392493"/>
    <w:rsid w:val="003959B2"/>
    <w:rsid w:val="00395CEB"/>
    <w:rsid w:val="00396818"/>
    <w:rsid w:val="003A04B4"/>
    <w:rsid w:val="003A31FF"/>
    <w:rsid w:val="003A5449"/>
    <w:rsid w:val="003B49B4"/>
    <w:rsid w:val="003B7D58"/>
    <w:rsid w:val="003C1DB0"/>
    <w:rsid w:val="003C3997"/>
    <w:rsid w:val="003C7D07"/>
    <w:rsid w:val="003D196B"/>
    <w:rsid w:val="003D4178"/>
    <w:rsid w:val="003D7BB7"/>
    <w:rsid w:val="003D7CAF"/>
    <w:rsid w:val="003E61F5"/>
    <w:rsid w:val="003E6252"/>
    <w:rsid w:val="003E64F0"/>
    <w:rsid w:val="003F6488"/>
    <w:rsid w:val="00401E30"/>
    <w:rsid w:val="00403514"/>
    <w:rsid w:val="00404A39"/>
    <w:rsid w:val="00404B30"/>
    <w:rsid w:val="00407933"/>
    <w:rsid w:val="004170B1"/>
    <w:rsid w:val="0042251F"/>
    <w:rsid w:val="004254C2"/>
    <w:rsid w:val="00427C3E"/>
    <w:rsid w:val="00430B7D"/>
    <w:rsid w:val="004340F0"/>
    <w:rsid w:val="00436354"/>
    <w:rsid w:val="00440EDA"/>
    <w:rsid w:val="00454416"/>
    <w:rsid w:val="00454A1B"/>
    <w:rsid w:val="004563E7"/>
    <w:rsid w:val="004567DC"/>
    <w:rsid w:val="00472E4F"/>
    <w:rsid w:val="00473088"/>
    <w:rsid w:val="004832B8"/>
    <w:rsid w:val="00485F68"/>
    <w:rsid w:val="004A0A34"/>
    <w:rsid w:val="004A12C1"/>
    <w:rsid w:val="004C503D"/>
    <w:rsid w:val="004D1D8A"/>
    <w:rsid w:val="004D2A5D"/>
    <w:rsid w:val="004D7834"/>
    <w:rsid w:val="004E4E85"/>
    <w:rsid w:val="004F63A2"/>
    <w:rsid w:val="004F75F9"/>
    <w:rsid w:val="00501E61"/>
    <w:rsid w:val="005074EA"/>
    <w:rsid w:val="0055207E"/>
    <w:rsid w:val="00560B96"/>
    <w:rsid w:val="005621AA"/>
    <w:rsid w:val="005730EC"/>
    <w:rsid w:val="00592D29"/>
    <w:rsid w:val="005A0E4E"/>
    <w:rsid w:val="005B794C"/>
    <w:rsid w:val="005C0957"/>
    <w:rsid w:val="005E0D7A"/>
    <w:rsid w:val="006045C5"/>
    <w:rsid w:val="0060699A"/>
    <w:rsid w:val="006179CD"/>
    <w:rsid w:val="006344AD"/>
    <w:rsid w:val="0064644B"/>
    <w:rsid w:val="006643F7"/>
    <w:rsid w:val="006648F7"/>
    <w:rsid w:val="0068109F"/>
    <w:rsid w:val="006848BE"/>
    <w:rsid w:val="00692EE8"/>
    <w:rsid w:val="0069481B"/>
    <w:rsid w:val="006A4B0A"/>
    <w:rsid w:val="006D3FA1"/>
    <w:rsid w:val="006F12FE"/>
    <w:rsid w:val="006F4BE3"/>
    <w:rsid w:val="00701814"/>
    <w:rsid w:val="00704280"/>
    <w:rsid w:val="00704FA0"/>
    <w:rsid w:val="007228BE"/>
    <w:rsid w:val="007275EF"/>
    <w:rsid w:val="00733E45"/>
    <w:rsid w:val="007418D4"/>
    <w:rsid w:val="007506B5"/>
    <w:rsid w:val="007521E9"/>
    <w:rsid w:val="00755CB5"/>
    <w:rsid w:val="007666DE"/>
    <w:rsid w:val="00784702"/>
    <w:rsid w:val="0078790F"/>
    <w:rsid w:val="0078792C"/>
    <w:rsid w:val="00796756"/>
    <w:rsid w:val="007A4872"/>
    <w:rsid w:val="007A58F8"/>
    <w:rsid w:val="007A7E54"/>
    <w:rsid w:val="007C0D21"/>
    <w:rsid w:val="007C3A6D"/>
    <w:rsid w:val="007C562C"/>
    <w:rsid w:val="007D75F0"/>
    <w:rsid w:val="007E7742"/>
    <w:rsid w:val="007F5334"/>
    <w:rsid w:val="007F7E34"/>
    <w:rsid w:val="008112E5"/>
    <w:rsid w:val="008149F6"/>
    <w:rsid w:val="00821393"/>
    <w:rsid w:val="00823CA4"/>
    <w:rsid w:val="00824F81"/>
    <w:rsid w:val="00830C29"/>
    <w:rsid w:val="008343FB"/>
    <w:rsid w:val="008371B7"/>
    <w:rsid w:val="00842E90"/>
    <w:rsid w:val="008441B9"/>
    <w:rsid w:val="00850578"/>
    <w:rsid w:val="0085321D"/>
    <w:rsid w:val="00861832"/>
    <w:rsid w:val="00861A37"/>
    <w:rsid w:val="00861C79"/>
    <w:rsid w:val="008744FE"/>
    <w:rsid w:val="00875AA0"/>
    <w:rsid w:val="00876D31"/>
    <w:rsid w:val="008821FD"/>
    <w:rsid w:val="008822C4"/>
    <w:rsid w:val="00883A30"/>
    <w:rsid w:val="0088511F"/>
    <w:rsid w:val="00894573"/>
    <w:rsid w:val="008A7CE2"/>
    <w:rsid w:val="008B70B2"/>
    <w:rsid w:val="008B7E89"/>
    <w:rsid w:val="008D73FA"/>
    <w:rsid w:val="008D76CB"/>
    <w:rsid w:val="008E3AE3"/>
    <w:rsid w:val="00900DAA"/>
    <w:rsid w:val="00902843"/>
    <w:rsid w:val="0091108D"/>
    <w:rsid w:val="00911C2F"/>
    <w:rsid w:val="009126C5"/>
    <w:rsid w:val="0091663B"/>
    <w:rsid w:val="00933947"/>
    <w:rsid w:val="0093411D"/>
    <w:rsid w:val="009417B7"/>
    <w:rsid w:val="00941E16"/>
    <w:rsid w:val="00942BEC"/>
    <w:rsid w:val="00943407"/>
    <w:rsid w:val="00957BA2"/>
    <w:rsid w:val="00961855"/>
    <w:rsid w:val="00962E69"/>
    <w:rsid w:val="00983803"/>
    <w:rsid w:val="00992A23"/>
    <w:rsid w:val="009935F9"/>
    <w:rsid w:val="009973D9"/>
    <w:rsid w:val="009B7BD9"/>
    <w:rsid w:val="009C3FFA"/>
    <w:rsid w:val="009C7E1B"/>
    <w:rsid w:val="009D65B9"/>
    <w:rsid w:val="009D7E0E"/>
    <w:rsid w:val="009E720B"/>
    <w:rsid w:val="009F44AD"/>
    <w:rsid w:val="009F7671"/>
    <w:rsid w:val="00A028B5"/>
    <w:rsid w:val="00A070DA"/>
    <w:rsid w:val="00A26F01"/>
    <w:rsid w:val="00A63854"/>
    <w:rsid w:val="00A65BB9"/>
    <w:rsid w:val="00AB5F39"/>
    <w:rsid w:val="00AB62BD"/>
    <w:rsid w:val="00AC1010"/>
    <w:rsid w:val="00AD3296"/>
    <w:rsid w:val="00AD3342"/>
    <w:rsid w:val="00AD4160"/>
    <w:rsid w:val="00AF360D"/>
    <w:rsid w:val="00AF7A2F"/>
    <w:rsid w:val="00B07F63"/>
    <w:rsid w:val="00B12830"/>
    <w:rsid w:val="00B21FE2"/>
    <w:rsid w:val="00B248FF"/>
    <w:rsid w:val="00B250ED"/>
    <w:rsid w:val="00B269A7"/>
    <w:rsid w:val="00B302F0"/>
    <w:rsid w:val="00B311F0"/>
    <w:rsid w:val="00B31C64"/>
    <w:rsid w:val="00B37A6A"/>
    <w:rsid w:val="00B40C4D"/>
    <w:rsid w:val="00B41F43"/>
    <w:rsid w:val="00B50893"/>
    <w:rsid w:val="00B55D94"/>
    <w:rsid w:val="00B561A6"/>
    <w:rsid w:val="00B6181D"/>
    <w:rsid w:val="00B66CEA"/>
    <w:rsid w:val="00B86743"/>
    <w:rsid w:val="00B871AE"/>
    <w:rsid w:val="00B93F1E"/>
    <w:rsid w:val="00B96008"/>
    <w:rsid w:val="00BA507A"/>
    <w:rsid w:val="00BA6695"/>
    <w:rsid w:val="00BC43BB"/>
    <w:rsid w:val="00BC7234"/>
    <w:rsid w:val="00BE1686"/>
    <w:rsid w:val="00BE24B1"/>
    <w:rsid w:val="00BF70CE"/>
    <w:rsid w:val="00C038E3"/>
    <w:rsid w:val="00C241B6"/>
    <w:rsid w:val="00C25FEB"/>
    <w:rsid w:val="00C30941"/>
    <w:rsid w:val="00C366C2"/>
    <w:rsid w:val="00C37A90"/>
    <w:rsid w:val="00C40A21"/>
    <w:rsid w:val="00C4536C"/>
    <w:rsid w:val="00C5127D"/>
    <w:rsid w:val="00C5787D"/>
    <w:rsid w:val="00C6415C"/>
    <w:rsid w:val="00C6591E"/>
    <w:rsid w:val="00C66E4E"/>
    <w:rsid w:val="00C7239A"/>
    <w:rsid w:val="00C766B4"/>
    <w:rsid w:val="00C77CBD"/>
    <w:rsid w:val="00CA2686"/>
    <w:rsid w:val="00CB146F"/>
    <w:rsid w:val="00CB17D0"/>
    <w:rsid w:val="00CB2463"/>
    <w:rsid w:val="00CC106E"/>
    <w:rsid w:val="00CC5189"/>
    <w:rsid w:val="00CD7685"/>
    <w:rsid w:val="00CF143C"/>
    <w:rsid w:val="00D25C0C"/>
    <w:rsid w:val="00D35298"/>
    <w:rsid w:val="00D428C9"/>
    <w:rsid w:val="00D458D2"/>
    <w:rsid w:val="00D50810"/>
    <w:rsid w:val="00D51DB4"/>
    <w:rsid w:val="00D52463"/>
    <w:rsid w:val="00D90617"/>
    <w:rsid w:val="00DA344E"/>
    <w:rsid w:val="00DA5EDB"/>
    <w:rsid w:val="00DB221F"/>
    <w:rsid w:val="00DD0D72"/>
    <w:rsid w:val="00DD4231"/>
    <w:rsid w:val="00DE6FE1"/>
    <w:rsid w:val="00DF577C"/>
    <w:rsid w:val="00E0762A"/>
    <w:rsid w:val="00E07EA2"/>
    <w:rsid w:val="00E111DA"/>
    <w:rsid w:val="00E25DBA"/>
    <w:rsid w:val="00E311CD"/>
    <w:rsid w:val="00E338B1"/>
    <w:rsid w:val="00E40E08"/>
    <w:rsid w:val="00E42DA7"/>
    <w:rsid w:val="00E447B3"/>
    <w:rsid w:val="00E51D7A"/>
    <w:rsid w:val="00E522BF"/>
    <w:rsid w:val="00E61218"/>
    <w:rsid w:val="00E71824"/>
    <w:rsid w:val="00E82F7E"/>
    <w:rsid w:val="00E9331B"/>
    <w:rsid w:val="00EA1066"/>
    <w:rsid w:val="00EA5F77"/>
    <w:rsid w:val="00EB00C6"/>
    <w:rsid w:val="00EB4DDE"/>
    <w:rsid w:val="00EB6647"/>
    <w:rsid w:val="00EE289E"/>
    <w:rsid w:val="00EE5F0E"/>
    <w:rsid w:val="00EE6DB5"/>
    <w:rsid w:val="00F028FF"/>
    <w:rsid w:val="00F05052"/>
    <w:rsid w:val="00F13B4E"/>
    <w:rsid w:val="00F1751A"/>
    <w:rsid w:val="00F41A5E"/>
    <w:rsid w:val="00F41C6A"/>
    <w:rsid w:val="00F435B3"/>
    <w:rsid w:val="00F53477"/>
    <w:rsid w:val="00F54246"/>
    <w:rsid w:val="00F72395"/>
    <w:rsid w:val="00F75689"/>
    <w:rsid w:val="00F81909"/>
    <w:rsid w:val="00F87CA0"/>
    <w:rsid w:val="00F9029A"/>
    <w:rsid w:val="00FA238F"/>
    <w:rsid w:val="00FB25AA"/>
    <w:rsid w:val="00FB277C"/>
    <w:rsid w:val="00FC22BF"/>
    <w:rsid w:val="00FD4142"/>
    <w:rsid w:val="00FE2B13"/>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7CF972"/>
  <w15:chartTrackingRefBased/>
  <w15:docId w15:val="{EFCA3B08-3275-4DBA-80DB-8FA74CD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D2"/>
  </w:style>
  <w:style w:type="paragraph" w:styleId="Heading1">
    <w:name w:val="heading 1"/>
    <w:basedOn w:val="Normal"/>
    <w:next w:val="Normal"/>
    <w:link w:val="Heading1Char"/>
    <w:uiPriority w:val="9"/>
    <w:qFormat/>
    <w:rsid w:val="00377691"/>
    <w:pPr>
      <w:keepNext/>
      <w:keepLines/>
      <w:spacing w:before="240" w:after="0"/>
      <w:outlineLvl w:val="0"/>
    </w:pPr>
    <w:rPr>
      <w:rFonts w:eastAsiaTheme="majorEastAsia" w:cstheme="majorBidi"/>
      <w:b/>
      <w:sz w:val="32"/>
      <w:szCs w:val="32"/>
    </w:rPr>
  </w:style>
  <w:style w:type="paragraph" w:styleId="Heading2">
    <w:name w:val="heading 2"/>
    <w:basedOn w:val="Normal"/>
    <w:link w:val="Heading2Char"/>
    <w:autoRedefine/>
    <w:uiPriority w:val="9"/>
    <w:qFormat/>
    <w:rsid w:val="00B250ED"/>
    <w:pPr>
      <w:spacing w:before="100" w:beforeAutospacing="1" w:after="120" w:line="240" w:lineRule="auto"/>
      <w:outlineLvl w:val="1"/>
    </w:pPr>
    <w:rPr>
      <w:rFonts w:cs="Times New Roman"/>
      <w:bCs/>
      <w:szCs w:val="24"/>
    </w:rPr>
  </w:style>
  <w:style w:type="paragraph" w:styleId="Heading3">
    <w:name w:val="heading 3"/>
    <w:basedOn w:val="Normal"/>
    <w:next w:val="Normal"/>
    <w:link w:val="Heading3Char"/>
    <w:uiPriority w:val="9"/>
    <w:unhideWhenUsed/>
    <w:qFormat/>
    <w:rsid w:val="002D3E98"/>
    <w:pPr>
      <w:keepNext/>
      <w:keepLines/>
      <w:spacing w:before="40" w:after="0"/>
      <w:ind w:left="72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AB5F39"/>
    <w:pPr>
      <w:keepNext/>
      <w:keepLines/>
      <w:spacing w:before="40" w:after="0"/>
      <w:ind w:left="7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91"/>
    <w:rPr>
      <w:rFonts w:eastAsiaTheme="majorEastAsia" w:cstheme="majorBidi"/>
      <w:b/>
      <w:sz w:val="32"/>
      <w:szCs w:val="32"/>
    </w:rPr>
  </w:style>
  <w:style w:type="character" w:customStyle="1" w:styleId="Heading2Char">
    <w:name w:val="Heading 2 Char"/>
    <w:basedOn w:val="DefaultParagraphFont"/>
    <w:link w:val="Heading2"/>
    <w:uiPriority w:val="9"/>
    <w:rsid w:val="00B250ED"/>
    <w:rPr>
      <w:rFonts w:cs="Times New Roman"/>
      <w:bCs/>
      <w:szCs w:val="24"/>
    </w:rPr>
  </w:style>
  <w:style w:type="paragraph" w:styleId="Title">
    <w:name w:val="Title"/>
    <w:basedOn w:val="Normal"/>
    <w:next w:val="Normal"/>
    <w:link w:val="TitleChar"/>
    <w:uiPriority w:val="10"/>
    <w:qFormat/>
    <w:rsid w:val="00D458D2"/>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458D2"/>
    <w:rPr>
      <w:rFonts w:eastAsiaTheme="majorEastAsia" w:cstheme="majorBidi"/>
      <w:b/>
      <w:spacing w:val="-10"/>
      <w:kern w:val="28"/>
      <w:sz w:val="56"/>
      <w:szCs w:val="56"/>
    </w:rPr>
  </w:style>
  <w:style w:type="character" w:customStyle="1" w:styleId="Heading3Char">
    <w:name w:val="Heading 3 Char"/>
    <w:basedOn w:val="DefaultParagraphFont"/>
    <w:link w:val="Heading3"/>
    <w:uiPriority w:val="9"/>
    <w:rsid w:val="002D3E98"/>
    <w:rPr>
      <w:rFonts w:eastAsiaTheme="majorEastAsia" w:cstheme="majorBidi"/>
      <w:b/>
      <w:szCs w:val="24"/>
      <w:u w:val="single"/>
    </w:rPr>
  </w:style>
  <w:style w:type="paragraph" w:styleId="FootnoteText">
    <w:name w:val="footnote text"/>
    <w:basedOn w:val="Normal"/>
    <w:link w:val="FootnoteTextChar"/>
    <w:uiPriority w:val="99"/>
    <w:semiHidden/>
    <w:unhideWhenUsed/>
    <w:rsid w:val="00C25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FEB"/>
    <w:rPr>
      <w:sz w:val="20"/>
      <w:szCs w:val="20"/>
    </w:rPr>
  </w:style>
  <w:style w:type="character" w:styleId="FootnoteReference">
    <w:name w:val="footnote reference"/>
    <w:basedOn w:val="DefaultParagraphFont"/>
    <w:uiPriority w:val="99"/>
    <w:semiHidden/>
    <w:unhideWhenUsed/>
    <w:rsid w:val="00C25FEB"/>
    <w:rPr>
      <w:vertAlign w:val="superscript"/>
    </w:rPr>
  </w:style>
  <w:style w:type="character" w:styleId="Hyperlink">
    <w:name w:val="Hyperlink"/>
    <w:basedOn w:val="DefaultParagraphFont"/>
    <w:uiPriority w:val="99"/>
    <w:unhideWhenUsed/>
    <w:rsid w:val="00C25FEB"/>
    <w:rPr>
      <w:color w:val="0563C1" w:themeColor="hyperlink"/>
      <w:u w:val="single"/>
    </w:rPr>
  </w:style>
  <w:style w:type="paragraph" w:styleId="ListParagraph">
    <w:name w:val="List Paragraph"/>
    <w:basedOn w:val="Normal"/>
    <w:uiPriority w:val="34"/>
    <w:qFormat/>
    <w:rsid w:val="00F75689"/>
    <w:pPr>
      <w:ind w:left="720"/>
      <w:contextualSpacing/>
    </w:pPr>
  </w:style>
  <w:style w:type="paragraph" w:styleId="NoSpacing">
    <w:name w:val="No Spacing"/>
    <w:link w:val="NoSpacingChar"/>
    <w:uiPriority w:val="1"/>
    <w:qFormat/>
    <w:rsid w:val="007C0D21"/>
    <w:pPr>
      <w:spacing w:after="0" w:line="240" w:lineRule="auto"/>
    </w:pPr>
    <w:rPr>
      <w:rFonts w:ascii="Calibri" w:eastAsia="Calibri" w:hAnsi="Calibri" w:cs="Calibri"/>
      <w:sz w:val="22"/>
    </w:rPr>
  </w:style>
  <w:style w:type="character" w:styleId="Strong">
    <w:name w:val="Strong"/>
    <w:basedOn w:val="DefaultParagraphFont"/>
    <w:uiPriority w:val="22"/>
    <w:qFormat/>
    <w:rsid w:val="00943407"/>
    <w:rPr>
      <w:b/>
      <w:bCs/>
    </w:rPr>
  </w:style>
  <w:style w:type="paragraph" w:styleId="EndnoteText">
    <w:name w:val="endnote text"/>
    <w:basedOn w:val="Normal"/>
    <w:link w:val="EndnoteTextChar"/>
    <w:uiPriority w:val="99"/>
    <w:semiHidden/>
    <w:unhideWhenUsed/>
    <w:rsid w:val="002F11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11D0"/>
    <w:rPr>
      <w:sz w:val="20"/>
      <w:szCs w:val="20"/>
    </w:rPr>
  </w:style>
  <w:style w:type="character" w:styleId="EndnoteReference">
    <w:name w:val="endnote reference"/>
    <w:basedOn w:val="DefaultParagraphFont"/>
    <w:uiPriority w:val="99"/>
    <w:semiHidden/>
    <w:unhideWhenUsed/>
    <w:rsid w:val="002F11D0"/>
    <w:rPr>
      <w:vertAlign w:val="superscript"/>
    </w:rPr>
  </w:style>
  <w:style w:type="character" w:customStyle="1" w:styleId="Heading4Char">
    <w:name w:val="Heading 4 Char"/>
    <w:basedOn w:val="DefaultParagraphFont"/>
    <w:link w:val="Heading4"/>
    <w:uiPriority w:val="9"/>
    <w:rsid w:val="00AB5F39"/>
    <w:rPr>
      <w:rFonts w:eastAsiaTheme="majorEastAsia" w:cstheme="majorBidi"/>
      <w:b/>
      <w:i/>
      <w:iCs/>
    </w:rPr>
  </w:style>
  <w:style w:type="paragraph" w:styleId="NormalWeb">
    <w:name w:val="Normal (Web)"/>
    <w:basedOn w:val="Normal"/>
    <w:uiPriority w:val="99"/>
    <w:semiHidden/>
    <w:unhideWhenUsed/>
    <w:rsid w:val="00692EE8"/>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9C3FFA"/>
    <w:rPr>
      <w:color w:val="954F72" w:themeColor="followedHyperlink"/>
      <w:u w:val="single"/>
    </w:rPr>
  </w:style>
  <w:style w:type="paragraph" w:styleId="Header">
    <w:name w:val="header"/>
    <w:basedOn w:val="Normal"/>
    <w:link w:val="HeaderChar"/>
    <w:uiPriority w:val="99"/>
    <w:unhideWhenUsed/>
    <w:rsid w:val="00C7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B4"/>
  </w:style>
  <w:style w:type="paragraph" w:styleId="Footer">
    <w:name w:val="footer"/>
    <w:basedOn w:val="Normal"/>
    <w:link w:val="FooterChar"/>
    <w:uiPriority w:val="99"/>
    <w:unhideWhenUsed/>
    <w:rsid w:val="00C7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B4"/>
  </w:style>
  <w:style w:type="character" w:customStyle="1" w:styleId="ilfuvd">
    <w:name w:val="ilfuvd"/>
    <w:basedOn w:val="DefaultParagraphFont"/>
    <w:rsid w:val="00B40C4D"/>
  </w:style>
  <w:style w:type="paragraph" w:customStyle="1" w:styleId="Default">
    <w:name w:val="Default"/>
    <w:rsid w:val="00396818"/>
    <w:pPr>
      <w:autoSpaceDE w:val="0"/>
      <w:autoSpaceDN w:val="0"/>
      <w:adjustRightInd w:val="0"/>
      <w:spacing w:after="0" w:line="240" w:lineRule="auto"/>
    </w:pPr>
    <w:rPr>
      <w:rFonts w:ascii="SQXRD W+ Times New Roman," w:hAnsi="SQXRD W+ Times New Roman," w:cs="SQXRD W+ Times New Roman,"/>
      <w:color w:val="000000"/>
      <w:szCs w:val="24"/>
    </w:rPr>
  </w:style>
  <w:style w:type="paragraph" w:customStyle="1" w:styleId="CM24">
    <w:name w:val="CM24"/>
    <w:basedOn w:val="Default"/>
    <w:next w:val="Default"/>
    <w:uiPriority w:val="99"/>
    <w:rsid w:val="00396818"/>
    <w:rPr>
      <w:rFonts w:cstheme="minorBidi"/>
      <w:color w:val="auto"/>
    </w:rPr>
  </w:style>
  <w:style w:type="paragraph" w:styleId="BalloonText">
    <w:name w:val="Balloon Text"/>
    <w:basedOn w:val="Normal"/>
    <w:link w:val="BalloonTextChar"/>
    <w:uiPriority w:val="99"/>
    <w:semiHidden/>
    <w:unhideWhenUsed/>
    <w:rsid w:val="0090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AA"/>
    <w:rPr>
      <w:rFonts w:ascii="Segoe UI" w:hAnsi="Segoe UI" w:cs="Segoe UI"/>
      <w:sz w:val="18"/>
      <w:szCs w:val="18"/>
    </w:rPr>
  </w:style>
  <w:style w:type="character" w:styleId="CommentReference">
    <w:name w:val="annotation reference"/>
    <w:basedOn w:val="DefaultParagraphFont"/>
    <w:uiPriority w:val="99"/>
    <w:semiHidden/>
    <w:unhideWhenUsed/>
    <w:rsid w:val="000527C0"/>
    <w:rPr>
      <w:sz w:val="16"/>
      <w:szCs w:val="16"/>
    </w:rPr>
  </w:style>
  <w:style w:type="paragraph" w:styleId="CommentText">
    <w:name w:val="annotation text"/>
    <w:basedOn w:val="Normal"/>
    <w:link w:val="CommentTextChar"/>
    <w:uiPriority w:val="99"/>
    <w:semiHidden/>
    <w:unhideWhenUsed/>
    <w:rsid w:val="000527C0"/>
    <w:pPr>
      <w:spacing w:line="240" w:lineRule="auto"/>
    </w:pPr>
    <w:rPr>
      <w:sz w:val="20"/>
      <w:szCs w:val="20"/>
    </w:rPr>
  </w:style>
  <w:style w:type="character" w:customStyle="1" w:styleId="CommentTextChar">
    <w:name w:val="Comment Text Char"/>
    <w:basedOn w:val="DefaultParagraphFont"/>
    <w:link w:val="CommentText"/>
    <w:uiPriority w:val="99"/>
    <w:semiHidden/>
    <w:rsid w:val="000527C0"/>
    <w:rPr>
      <w:sz w:val="20"/>
      <w:szCs w:val="20"/>
    </w:rPr>
  </w:style>
  <w:style w:type="paragraph" w:styleId="CommentSubject">
    <w:name w:val="annotation subject"/>
    <w:basedOn w:val="CommentText"/>
    <w:next w:val="CommentText"/>
    <w:link w:val="CommentSubjectChar"/>
    <w:uiPriority w:val="99"/>
    <w:semiHidden/>
    <w:unhideWhenUsed/>
    <w:rsid w:val="000527C0"/>
    <w:rPr>
      <w:b/>
      <w:bCs/>
    </w:rPr>
  </w:style>
  <w:style w:type="character" w:customStyle="1" w:styleId="CommentSubjectChar">
    <w:name w:val="Comment Subject Char"/>
    <w:basedOn w:val="CommentTextChar"/>
    <w:link w:val="CommentSubject"/>
    <w:uiPriority w:val="99"/>
    <w:semiHidden/>
    <w:rsid w:val="000527C0"/>
    <w:rPr>
      <w:b/>
      <w:bCs/>
      <w:sz w:val="20"/>
      <w:szCs w:val="20"/>
    </w:rPr>
  </w:style>
  <w:style w:type="paragraph" w:styleId="TOCHeading">
    <w:name w:val="TOC Heading"/>
    <w:basedOn w:val="Heading1"/>
    <w:next w:val="Normal"/>
    <w:uiPriority w:val="39"/>
    <w:unhideWhenUsed/>
    <w:qFormat/>
    <w:rsid w:val="002F54DC"/>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2F54DC"/>
    <w:pPr>
      <w:spacing w:after="100"/>
    </w:pPr>
  </w:style>
  <w:style w:type="paragraph" w:styleId="TOC2">
    <w:name w:val="toc 2"/>
    <w:basedOn w:val="Normal"/>
    <w:next w:val="Normal"/>
    <w:autoRedefine/>
    <w:uiPriority w:val="39"/>
    <w:unhideWhenUsed/>
    <w:rsid w:val="002F54DC"/>
    <w:pPr>
      <w:spacing w:after="100"/>
      <w:ind w:left="240"/>
    </w:pPr>
  </w:style>
  <w:style w:type="paragraph" w:styleId="TOC3">
    <w:name w:val="toc 3"/>
    <w:basedOn w:val="Normal"/>
    <w:next w:val="Normal"/>
    <w:autoRedefine/>
    <w:uiPriority w:val="39"/>
    <w:unhideWhenUsed/>
    <w:rsid w:val="002F54DC"/>
    <w:pPr>
      <w:spacing w:after="100"/>
      <w:ind w:left="480"/>
    </w:pPr>
  </w:style>
  <w:style w:type="character" w:customStyle="1" w:styleId="NoSpacingChar">
    <w:name w:val="No Spacing Char"/>
    <w:basedOn w:val="DefaultParagraphFont"/>
    <w:link w:val="NoSpacing"/>
    <w:uiPriority w:val="1"/>
    <w:rsid w:val="00B311F0"/>
    <w:rPr>
      <w:rFonts w:ascii="Calibri" w:eastAsia="Calibri" w:hAnsi="Calibri" w:cs="Calibri"/>
      <w:sz w:val="22"/>
    </w:rPr>
  </w:style>
  <w:style w:type="character" w:customStyle="1" w:styleId="field-item">
    <w:name w:val="field-item"/>
    <w:basedOn w:val="DefaultParagraphFont"/>
    <w:rsid w:val="0031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3137">
      <w:bodyDiv w:val="1"/>
      <w:marLeft w:val="0"/>
      <w:marRight w:val="0"/>
      <w:marTop w:val="0"/>
      <w:marBottom w:val="0"/>
      <w:divBdr>
        <w:top w:val="none" w:sz="0" w:space="0" w:color="auto"/>
        <w:left w:val="none" w:sz="0" w:space="0" w:color="auto"/>
        <w:bottom w:val="none" w:sz="0" w:space="0" w:color="auto"/>
        <w:right w:val="none" w:sz="0" w:space="0" w:color="auto"/>
      </w:divBdr>
    </w:div>
    <w:div w:id="1555972350">
      <w:bodyDiv w:val="1"/>
      <w:marLeft w:val="0"/>
      <w:marRight w:val="0"/>
      <w:marTop w:val="0"/>
      <w:marBottom w:val="0"/>
      <w:divBdr>
        <w:top w:val="none" w:sz="0" w:space="0" w:color="auto"/>
        <w:left w:val="none" w:sz="0" w:space="0" w:color="auto"/>
        <w:bottom w:val="none" w:sz="0" w:space="0" w:color="auto"/>
        <w:right w:val="none" w:sz="0" w:space="0" w:color="auto"/>
      </w:divBdr>
    </w:div>
    <w:div w:id="1797597249">
      <w:bodyDiv w:val="1"/>
      <w:marLeft w:val="0"/>
      <w:marRight w:val="0"/>
      <w:marTop w:val="0"/>
      <w:marBottom w:val="0"/>
      <w:divBdr>
        <w:top w:val="none" w:sz="0" w:space="0" w:color="auto"/>
        <w:left w:val="none" w:sz="0" w:space="0" w:color="auto"/>
        <w:bottom w:val="none" w:sz="0" w:space="0" w:color="auto"/>
        <w:right w:val="none" w:sz="0" w:space="0" w:color="auto"/>
      </w:divBdr>
    </w:div>
    <w:div w:id="18504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archives.hud.gov/news/2013/pr13-060.cfm" TargetMode="External"/><Relationship Id="rId3" Type="http://schemas.openxmlformats.org/officeDocument/2006/relationships/styles" Target="styles.xml"/><Relationship Id="rId21" Type="http://schemas.openxmlformats.org/officeDocument/2006/relationships/hyperlink" Target="https://www.ada.gov/regs2010/titleII_2010/title_ii_primer.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littler.com/publication-press/publication/dear-littler-how-do-you-address-employee-service-animal-accommod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animallaw.info/sites/default/files/FHEO_notice_assistance_animals20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data.org/publication/service-animals-booklet" TargetMode="External"/><Relationship Id="rId32" Type="http://schemas.openxmlformats.org/officeDocument/2006/relationships/hyperlink" Target="https://www.animallaw.info/article/faqs-emotional-support-animal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ada.gov/regs2010/titleII_2010/titleII_2010_regulations.htm" TargetMode="External"/><Relationship Id="rId28" Type="http://schemas.openxmlformats.org/officeDocument/2006/relationships/hyperlink" Target="https://askjan.org/topics/servanim.cf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transportation.gov/individuals/aviation-consumer-protection/service-animals-including-emotional-support-anim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da.gov/regs2010/titleIII_2010/titleIII_2010_regulations.htm" TargetMode="External"/><Relationship Id="rId27" Type="http://schemas.openxmlformats.org/officeDocument/2006/relationships/hyperlink" Target="https://archives.hud.gov/news/2013/huddojstatement.pdf" TargetMode="External"/><Relationship Id="rId30" Type="http://schemas.openxmlformats.org/officeDocument/2006/relationships/hyperlink" Target="http://nwadacenter.org/factsheet/service-animals-employment-accommodatio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archives.hud.gov/news/2013/pr13-060.cfm" TargetMode="External"/><Relationship Id="rId1" Type="http://schemas.openxmlformats.org/officeDocument/2006/relationships/hyperlink" Target="https://www.ada.gov/regs2010/service_animal_q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18B8-BA0A-40E0-BE67-678B3EC3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C7F3F4AE</Template>
  <TotalTime>2</TotalTime>
  <Pages>16</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Turner</dc:creator>
  <cp:keywords/>
  <dc:description/>
  <cp:lastModifiedBy>Randi Turner</cp:lastModifiedBy>
  <cp:revision>4</cp:revision>
  <dcterms:created xsi:type="dcterms:W3CDTF">2019-03-26T20:11:00Z</dcterms:created>
  <dcterms:modified xsi:type="dcterms:W3CDTF">2019-03-26T20:12:00Z</dcterms:modified>
</cp:coreProperties>
</file>