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3F" w:rsidRDefault="00495C2C" w:rsidP="002D43C1">
      <w:pPr>
        <w:pStyle w:val="Title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Stay-at-Work/Return-to-W</w:t>
      </w:r>
      <w:r w:rsidR="0053283F" w:rsidRPr="002D43C1">
        <w:rPr>
          <w:rFonts w:ascii="Verdana" w:hAnsi="Verdana"/>
          <w:b/>
          <w:sz w:val="32"/>
          <w:szCs w:val="32"/>
        </w:rPr>
        <w:t>ork Toolkit</w:t>
      </w:r>
    </w:p>
    <w:p w:rsidR="002D43C1" w:rsidRPr="002D43C1" w:rsidRDefault="002D43C1" w:rsidP="002D43C1"/>
    <w:p w:rsidR="003439C0" w:rsidRPr="002D43C1" w:rsidRDefault="00495C2C" w:rsidP="002D43C1">
      <w:pPr>
        <w:pStyle w:val="Heading1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t xml:space="preserve">Common Disability </w:t>
      </w:r>
      <w:r w:rsidR="0053283F" w:rsidRPr="002D43C1">
        <w:rPr>
          <w:rFonts w:ascii="Verdana" w:hAnsi="Verdana"/>
          <w:b/>
          <w:color w:val="auto"/>
          <w:sz w:val="28"/>
          <w:szCs w:val="28"/>
        </w:rPr>
        <w:t xml:space="preserve">Terms and </w:t>
      </w:r>
      <w:r w:rsidR="002D43C1" w:rsidRPr="002D43C1">
        <w:rPr>
          <w:rFonts w:ascii="Verdana" w:hAnsi="Verdana"/>
          <w:b/>
          <w:color w:val="auto"/>
          <w:sz w:val="28"/>
          <w:szCs w:val="28"/>
        </w:rPr>
        <w:t xml:space="preserve">Useful </w:t>
      </w:r>
      <w:r w:rsidR="0053283F" w:rsidRPr="002D43C1">
        <w:rPr>
          <w:rFonts w:ascii="Verdana" w:hAnsi="Verdana"/>
          <w:b/>
          <w:color w:val="auto"/>
          <w:sz w:val="28"/>
          <w:szCs w:val="28"/>
        </w:rPr>
        <w:t>Links</w:t>
      </w:r>
      <w:r w:rsidR="002D43C1" w:rsidRPr="002D43C1">
        <w:rPr>
          <w:rFonts w:ascii="Verdana" w:hAnsi="Verdana"/>
          <w:b/>
          <w:color w:val="auto"/>
          <w:sz w:val="28"/>
          <w:szCs w:val="28"/>
        </w:rPr>
        <w:t xml:space="preserve"> to </w:t>
      </w:r>
      <w:r>
        <w:rPr>
          <w:rFonts w:ascii="Verdana" w:hAnsi="Verdana"/>
          <w:b/>
          <w:color w:val="auto"/>
          <w:sz w:val="28"/>
          <w:szCs w:val="28"/>
        </w:rPr>
        <w:t>Resources</w:t>
      </w:r>
    </w:p>
    <w:p w:rsidR="0053283F" w:rsidRDefault="0053283F">
      <w:pPr>
        <w:rPr>
          <w:rFonts w:ascii="Verdana" w:hAnsi="Verdana" w:cstheme="minorHAnsi"/>
          <w:sz w:val="24"/>
          <w:szCs w:val="24"/>
        </w:rPr>
      </w:pPr>
    </w:p>
    <w:p w:rsidR="00C17598" w:rsidRPr="00C17598" w:rsidRDefault="0053283F" w:rsidP="00EB453C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 w:rsidRPr="00F1254D">
        <w:rPr>
          <w:rFonts w:ascii="Verdana" w:hAnsi="Verdana" w:cstheme="minorHAnsi"/>
          <w:b/>
          <w:sz w:val="24"/>
          <w:szCs w:val="24"/>
        </w:rPr>
        <w:t>Americans with Disabilities Act of 1990</w:t>
      </w:r>
    </w:p>
    <w:p w:rsidR="0053283F" w:rsidRDefault="003439C0" w:rsidP="00EB453C">
      <w:pPr>
        <w:pStyle w:val="ListParagraph"/>
        <w:ind w:left="360"/>
        <w:rPr>
          <w:rFonts w:ascii="Verdana" w:hAnsi="Verdana" w:cstheme="minorHAnsi"/>
          <w:sz w:val="24"/>
          <w:szCs w:val="24"/>
        </w:rPr>
      </w:pPr>
      <w:hyperlink r:id="rId5" w:history="1">
        <w:r w:rsidR="0053283F" w:rsidRPr="00AE55D7">
          <w:rPr>
            <w:rStyle w:val="Hyperlink"/>
            <w:rFonts w:ascii="Verdana" w:hAnsi="Verdana" w:cstheme="minorHAnsi"/>
            <w:sz w:val="24"/>
            <w:szCs w:val="24"/>
          </w:rPr>
          <w:t>www.ada.gov</w:t>
        </w:r>
      </w:hyperlink>
    </w:p>
    <w:p w:rsidR="0053283F" w:rsidRDefault="0053283F" w:rsidP="00EB453C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 w:rsidRPr="00F1254D">
        <w:rPr>
          <w:rFonts w:ascii="Verdana" w:hAnsi="Verdana" w:cstheme="minorHAnsi"/>
          <w:b/>
          <w:sz w:val="24"/>
          <w:szCs w:val="24"/>
        </w:rPr>
        <w:t>ADA Title</w:t>
      </w:r>
      <w:r>
        <w:rPr>
          <w:rFonts w:ascii="Verdana" w:hAnsi="Verdana" w:cstheme="minorHAnsi"/>
          <w:sz w:val="24"/>
          <w:szCs w:val="24"/>
        </w:rPr>
        <w:t xml:space="preserve"> </w:t>
      </w:r>
      <w:r w:rsidRPr="00495C2C">
        <w:rPr>
          <w:rFonts w:ascii="Verdana" w:hAnsi="Verdana" w:cstheme="minorHAnsi"/>
          <w:b/>
          <w:sz w:val="24"/>
          <w:szCs w:val="24"/>
        </w:rPr>
        <w:t>I</w:t>
      </w:r>
    </w:p>
    <w:p w:rsidR="0053283F" w:rsidRDefault="0053283F" w:rsidP="00E40283">
      <w:pPr>
        <w:pStyle w:val="ListParagrap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EEOC regulations implementing Title I of ADA </w:t>
      </w:r>
      <w:hyperlink r:id="rId6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https://www.eeoc.gov/laws/types/disability_regulations.cfm</w:t>
        </w:r>
      </w:hyperlink>
    </w:p>
    <w:p w:rsidR="00C17598" w:rsidRDefault="0053283F" w:rsidP="00E40283">
      <w:pPr>
        <w:pStyle w:val="ListParagrap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Sub-regulatory guidance related to ADA and workers’ comp</w:t>
      </w:r>
      <w:r w:rsidR="00C17598">
        <w:rPr>
          <w:rFonts w:ascii="Verdana" w:hAnsi="Verdana" w:cstheme="minorHAnsi"/>
          <w:sz w:val="24"/>
          <w:szCs w:val="24"/>
        </w:rPr>
        <w:t>ensation</w:t>
      </w:r>
    </w:p>
    <w:p w:rsidR="0053283F" w:rsidRDefault="003439C0" w:rsidP="00E40283">
      <w:pPr>
        <w:pStyle w:val="ListParagraph"/>
        <w:rPr>
          <w:rFonts w:ascii="Verdana" w:hAnsi="Verdana" w:cstheme="minorHAnsi"/>
          <w:sz w:val="24"/>
          <w:szCs w:val="24"/>
        </w:rPr>
      </w:pPr>
      <w:hyperlink r:id="rId7" w:history="1">
        <w:r w:rsidR="0053283F" w:rsidRPr="00AE55D7">
          <w:rPr>
            <w:rStyle w:val="Hyperlink"/>
            <w:rFonts w:ascii="Verdana" w:hAnsi="Verdana" w:cstheme="minorHAnsi"/>
            <w:sz w:val="24"/>
            <w:szCs w:val="24"/>
          </w:rPr>
          <w:t>https://www.eeoc.gov/policy/docs/workcomp.html</w:t>
        </w:r>
      </w:hyperlink>
      <w:r w:rsidR="0053283F">
        <w:rPr>
          <w:rFonts w:ascii="Verdana" w:hAnsi="Verdana" w:cstheme="minorHAnsi"/>
          <w:sz w:val="24"/>
          <w:szCs w:val="24"/>
        </w:rPr>
        <w:t xml:space="preserve"> </w:t>
      </w:r>
    </w:p>
    <w:p w:rsidR="0053283F" w:rsidRDefault="0053283F" w:rsidP="00EB453C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 w:rsidRPr="00F1254D">
        <w:rPr>
          <w:rFonts w:ascii="Verdana" w:hAnsi="Verdana" w:cstheme="minorHAnsi"/>
          <w:b/>
          <w:sz w:val="24"/>
          <w:szCs w:val="24"/>
        </w:rPr>
        <w:t>Disability</w:t>
      </w:r>
      <w:r w:rsidR="00C17598">
        <w:rPr>
          <w:rFonts w:ascii="Verdana" w:hAnsi="Verdana" w:cstheme="minorHAnsi"/>
          <w:b/>
          <w:sz w:val="24"/>
          <w:szCs w:val="24"/>
        </w:rPr>
        <w:t xml:space="preserve"> </w:t>
      </w:r>
      <w:hyperlink r:id="rId8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https://www.eeoc.gov/laws/regulations/adaaa_fact_sheet.cfm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53283F" w:rsidRDefault="00F1254D" w:rsidP="00EB453C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 w:rsidRPr="00F1254D">
        <w:rPr>
          <w:rFonts w:ascii="Verdana" w:hAnsi="Verdana" w:cstheme="minorHAnsi"/>
          <w:b/>
          <w:sz w:val="24"/>
          <w:szCs w:val="24"/>
        </w:rPr>
        <w:t>Disability Etiquette</w:t>
      </w:r>
      <w:r>
        <w:rPr>
          <w:rFonts w:ascii="Verdana" w:hAnsi="Verdana" w:cstheme="minorHAnsi"/>
          <w:sz w:val="24"/>
          <w:szCs w:val="24"/>
        </w:rPr>
        <w:t xml:space="preserve"> </w:t>
      </w:r>
    </w:p>
    <w:p w:rsidR="00F1254D" w:rsidRDefault="00F1254D" w:rsidP="00E40283">
      <w:pPr>
        <w:pStyle w:val="ListParagrap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Example guidelines from United Spinal Association </w:t>
      </w:r>
      <w:hyperlink r:id="rId9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http://www.unitedspinal.org/pdf/DisabilityEtiquette.pdf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F1254D" w:rsidRDefault="00F1254D" w:rsidP="00E40283">
      <w:pPr>
        <w:pStyle w:val="ListParagrap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Example guidelines from Ten</w:t>
      </w:r>
      <w:r w:rsidR="00B61BB6">
        <w:rPr>
          <w:rFonts w:ascii="Verdana" w:hAnsi="Verdana" w:cstheme="minorHAnsi"/>
          <w:sz w:val="24"/>
          <w:szCs w:val="24"/>
        </w:rPr>
        <w:t>n</w:t>
      </w:r>
      <w:r>
        <w:rPr>
          <w:rFonts w:ascii="Verdana" w:hAnsi="Verdana" w:cstheme="minorHAnsi"/>
          <w:sz w:val="24"/>
          <w:szCs w:val="24"/>
        </w:rPr>
        <w:t xml:space="preserve">essee Disability Coalition </w:t>
      </w:r>
      <w:hyperlink r:id="rId10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http://www.tndisability.org/our-publications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F1254D" w:rsidRDefault="00F1254D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 w:rsidRPr="00F1254D">
        <w:rPr>
          <w:rFonts w:ascii="Verdana" w:hAnsi="Verdana" w:cstheme="minorHAnsi"/>
          <w:b/>
          <w:sz w:val="24"/>
          <w:szCs w:val="24"/>
        </w:rPr>
        <w:t>Employer Subsidies and Incentives</w:t>
      </w:r>
      <w:r>
        <w:rPr>
          <w:rFonts w:ascii="Verdana" w:hAnsi="Verdana" w:cstheme="minorHAnsi"/>
          <w:sz w:val="24"/>
          <w:szCs w:val="24"/>
        </w:rPr>
        <w:t xml:space="preserve"> </w:t>
      </w:r>
      <w:hyperlink r:id="rId11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https://www.dol.gov/odep/topics/pdf/PAP_Transition%20Back%20to%20Work%20FINAL_2017-09-07.pdf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F1254D" w:rsidRDefault="00F1254D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 w:rsidRPr="00F1254D">
        <w:rPr>
          <w:rFonts w:ascii="Verdana" w:hAnsi="Verdana" w:cstheme="minorHAnsi"/>
          <w:b/>
          <w:sz w:val="24"/>
          <w:szCs w:val="24"/>
        </w:rPr>
        <w:t>Family and Medical Leave Act (FMLA)</w:t>
      </w:r>
      <w:r>
        <w:rPr>
          <w:rFonts w:ascii="Verdana" w:hAnsi="Verdana" w:cstheme="minorHAnsi"/>
          <w:sz w:val="24"/>
          <w:szCs w:val="24"/>
        </w:rPr>
        <w:t xml:space="preserve"> </w:t>
      </w:r>
      <w:hyperlink r:id="rId12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https://www.dol.gov/whd/fmla/?apartner=aarp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EB453C" w:rsidRPr="00EB453C" w:rsidRDefault="003600F0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Impairments</w:t>
      </w:r>
      <w:r w:rsidRPr="00485172">
        <w:rPr>
          <w:rFonts w:ascii="Verdana" w:hAnsi="Verdana" w:cstheme="minorHAnsi"/>
          <w:sz w:val="24"/>
          <w:szCs w:val="24"/>
        </w:rPr>
        <w:t xml:space="preserve"> </w:t>
      </w:r>
    </w:p>
    <w:p w:rsidR="00EB453C" w:rsidRPr="00EB453C" w:rsidRDefault="00E40283" w:rsidP="00E40283">
      <w:pPr>
        <w:pStyle w:val="ListParagraph"/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L</w:t>
      </w:r>
      <w:r w:rsidR="00EB453C" w:rsidRPr="00EB453C">
        <w:rPr>
          <w:rFonts w:ascii="Verdana" w:hAnsi="Verdana" w:cstheme="minorHAnsi"/>
          <w:sz w:val="24"/>
          <w:szCs w:val="24"/>
        </w:rPr>
        <w:t xml:space="preserve">istings of </w:t>
      </w:r>
      <w:r>
        <w:rPr>
          <w:rFonts w:ascii="Verdana" w:hAnsi="Verdana" w:cstheme="minorHAnsi"/>
          <w:sz w:val="24"/>
          <w:szCs w:val="24"/>
        </w:rPr>
        <w:t xml:space="preserve">adult </w:t>
      </w:r>
      <w:r w:rsidR="00EB453C" w:rsidRPr="00EB453C">
        <w:rPr>
          <w:rFonts w:ascii="Verdana" w:hAnsi="Verdana" w:cstheme="minorHAnsi"/>
          <w:sz w:val="24"/>
          <w:szCs w:val="24"/>
        </w:rPr>
        <w:t xml:space="preserve">impairments used for purposes of SSI and SSDI </w:t>
      </w:r>
      <w:r>
        <w:rPr>
          <w:rFonts w:ascii="Verdana" w:hAnsi="Verdana" w:cstheme="minorHAnsi"/>
          <w:sz w:val="24"/>
          <w:szCs w:val="24"/>
        </w:rPr>
        <w:t>disability evaluation</w:t>
      </w:r>
    </w:p>
    <w:p w:rsidR="00F1254D" w:rsidRDefault="003439C0" w:rsidP="00E40283">
      <w:pPr>
        <w:pStyle w:val="ListParagraph"/>
        <w:ind w:left="360"/>
        <w:rPr>
          <w:rFonts w:ascii="Verdana" w:hAnsi="Verdana" w:cstheme="minorHAnsi"/>
          <w:sz w:val="24"/>
          <w:szCs w:val="24"/>
        </w:rPr>
      </w:pPr>
      <w:hyperlink r:id="rId13" w:history="1">
        <w:r w:rsidR="003600F0" w:rsidRPr="00AE55D7">
          <w:rPr>
            <w:rStyle w:val="Hyperlink"/>
            <w:rFonts w:ascii="Verdana" w:hAnsi="Verdana" w:cstheme="minorHAnsi"/>
            <w:sz w:val="24"/>
            <w:szCs w:val="24"/>
          </w:rPr>
          <w:t>https://www.ssa.gov/disability/professionals/bluebook/AdultListings.htm</w:t>
        </w:r>
      </w:hyperlink>
      <w:r w:rsidR="003600F0">
        <w:rPr>
          <w:rFonts w:ascii="Verdana" w:hAnsi="Verdana" w:cstheme="minorHAnsi"/>
          <w:sz w:val="24"/>
          <w:szCs w:val="24"/>
        </w:rPr>
        <w:t xml:space="preserve"> </w:t>
      </w:r>
    </w:p>
    <w:p w:rsidR="003600F0" w:rsidRDefault="003600F0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Model Employer</w:t>
      </w:r>
      <w:r>
        <w:rPr>
          <w:rFonts w:ascii="Verdana" w:hAnsi="Verdana" w:cstheme="minorHAnsi"/>
          <w:sz w:val="24"/>
          <w:szCs w:val="24"/>
        </w:rPr>
        <w:t xml:space="preserve"> </w:t>
      </w:r>
      <w:hyperlink r:id="rId14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https://www.csg.org/NTPWD/documents/SEED_Report_2006_000.pdf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190CD4" w:rsidRDefault="003600F0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Occupational Health and Safety Act of 1970 (OSHA)</w:t>
      </w:r>
      <w:r>
        <w:rPr>
          <w:rFonts w:ascii="Verdana" w:hAnsi="Verdana" w:cstheme="minorHAnsi"/>
          <w:sz w:val="24"/>
          <w:szCs w:val="24"/>
        </w:rPr>
        <w:t xml:space="preserve"> </w:t>
      </w:r>
      <w:hyperlink r:id="rId15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https://www.osha.gov/law-regs.html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3600F0" w:rsidRPr="00190CD4" w:rsidRDefault="00190CD4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 w:rsidRPr="00190CD4">
        <w:rPr>
          <w:rFonts w:ascii="Verdana" w:hAnsi="Verdana" w:cstheme="minorHAnsi"/>
          <w:b/>
          <w:sz w:val="24"/>
          <w:szCs w:val="24"/>
        </w:rPr>
        <w:t>Office of Disability Employment Policy (ODEP)</w:t>
      </w:r>
      <w:r w:rsidRPr="00190CD4">
        <w:rPr>
          <w:rFonts w:ascii="Verdana" w:hAnsi="Verdana" w:cstheme="minorHAnsi"/>
          <w:sz w:val="24"/>
          <w:szCs w:val="24"/>
        </w:rPr>
        <w:t xml:space="preserve"> </w:t>
      </w:r>
      <w:hyperlink r:id="rId16" w:history="1">
        <w:r w:rsidRPr="00190CD4">
          <w:rPr>
            <w:rStyle w:val="Hyperlink"/>
            <w:rFonts w:ascii="Verdana" w:hAnsi="Verdana" w:cstheme="minorHAnsi"/>
            <w:sz w:val="24"/>
            <w:szCs w:val="24"/>
          </w:rPr>
          <w:t>https://www.dol.gov/odep</w:t>
        </w:r>
      </w:hyperlink>
      <w:r w:rsidRPr="00190CD4">
        <w:rPr>
          <w:rFonts w:ascii="Verdana" w:hAnsi="Verdana" w:cstheme="minorHAnsi"/>
          <w:sz w:val="24"/>
          <w:szCs w:val="24"/>
        </w:rPr>
        <w:t xml:space="preserve"> </w:t>
      </w:r>
    </w:p>
    <w:p w:rsidR="00190CD4" w:rsidRDefault="00190CD4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Partial Disability Benefits </w:t>
      </w:r>
      <w:hyperlink r:id="rId17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https://www.dol.gov/odep/topics/pdf/PAP_Transition%20Back%20to%20Work%20FINAL_2017-09-07.pdf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190CD4" w:rsidRDefault="00190CD4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Reasonable Accommodation</w:t>
      </w:r>
      <w:r>
        <w:rPr>
          <w:rFonts w:ascii="Verdana" w:hAnsi="Verdana" w:cstheme="minorHAnsi"/>
          <w:sz w:val="24"/>
          <w:szCs w:val="24"/>
        </w:rPr>
        <w:t xml:space="preserve"> </w:t>
      </w:r>
      <w:hyperlink r:id="rId18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https://www.eeoc.gov/policy/docs/accommodation.html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190CD4" w:rsidRDefault="00190CD4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lastRenderedPageBreak/>
        <w:t xml:space="preserve">Section 501 of </w:t>
      </w:r>
      <w:r w:rsidR="00C17598">
        <w:rPr>
          <w:rFonts w:ascii="Verdana" w:hAnsi="Verdana" w:cstheme="minorHAnsi"/>
          <w:b/>
          <w:sz w:val="24"/>
          <w:szCs w:val="24"/>
        </w:rPr>
        <w:t>Rehabilitation Act</w:t>
      </w:r>
      <w:r>
        <w:rPr>
          <w:rFonts w:ascii="Verdana" w:hAnsi="Verdana" w:cstheme="minorHAnsi"/>
          <w:sz w:val="24"/>
          <w:szCs w:val="24"/>
        </w:rPr>
        <w:t xml:space="preserve"> </w:t>
      </w:r>
      <w:hyperlink r:id="rId19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https://www.eeoc.gov/laws/regulations/qanda-ada-disabilities-final-rule.cfm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190CD4" w:rsidRDefault="00190CD4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Social Security Disab</w:t>
      </w:r>
      <w:r w:rsidR="00B61BB6">
        <w:rPr>
          <w:rFonts w:ascii="Verdana" w:hAnsi="Verdana" w:cstheme="minorHAnsi"/>
          <w:b/>
          <w:sz w:val="24"/>
          <w:szCs w:val="24"/>
        </w:rPr>
        <w:t>i</w:t>
      </w:r>
      <w:r>
        <w:rPr>
          <w:rFonts w:ascii="Verdana" w:hAnsi="Verdana" w:cstheme="minorHAnsi"/>
          <w:b/>
          <w:sz w:val="24"/>
          <w:szCs w:val="24"/>
        </w:rPr>
        <w:t>li</w:t>
      </w:r>
      <w:r w:rsidR="00C17598">
        <w:rPr>
          <w:rFonts w:ascii="Verdana" w:hAnsi="Verdana" w:cstheme="minorHAnsi"/>
          <w:b/>
          <w:sz w:val="24"/>
          <w:szCs w:val="24"/>
        </w:rPr>
        <w:t>ty Insurance (SSDI)</w:t>
      </w:r>
      <w:r>
        <w:rPr>
          <w:rFonts w:ascii="Verdana" w:hAnsi="Verdana" w:cstheme="minorHAnsi"/>
          <w:b/>
          <w:sz w:val="24"/>
          <w:szCs w:val="24"/>
        </w:rPr>
        <w:t xml:space="preserve"> </w:t>
      </w:r>
      <w:hyperlink r:id="rId20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https://www.ssa.gov/redbook/eng/overview-disability.htm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190CD4" w:rsidRDefault="006828C1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State V</w:t>
      </w:r>
      <w:r w:rsidR="00C17598">
        <w:rPr>
          <w:rFonts w:ascii="Verdana" w:hAnsi="Verdana" w:cstheme="minorHAnsi"/>
          <w:b/>
          <w:sz w:val="24"/>
          <w:szCs w:val="24"/>
        </w:rPr>
        <w:t>ocational Rehabilitation Agenc</w:t>
      </w:r>
      <w:r w:rsidR="00C44039">
        <w:rPr>
          <w:rFonts w:ascii="Verdana" w:hAnsi="Verdana" w:cstheme="minorHAnsi"/>
          <w:b/>
          <w:sz w:val="24"/>
          <w:szCs w:val="24"/>
        </w:rPr>
        <w:t>ies</w:t>
      </w:r>
      <w:r>
        <w:rPr>
          <w:rFonts w:ascii="Verdana" w:hAnsi="Verdana" w:cstheme="minorHAnsi"/>
          <w:sz w:val="24"/>
          <w:szCs w:val="24"/>
        </w:rPr>
        <w:t xml:space="preserve"> </w:t>
      </w:r>
      <w:hyperlink r:id="rId21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http://www.askearn.org/state-vocational-rehabilitation-agencies/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C17598" w:rsidRPr="00C17598" w:rsidRDefault="006828C1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Stay</w:t>
      </w:r>
      <w:r w:rsidR="00C44039">
        <w:rPr>
          <w:rFonts w:ascii="Verdana" w:hAnsi="Verdana" w:cstheme="minorHAnsi"/>
          <w:b/>
          <w:sz w:val="24"/>
          <w:szCs w:val="24"/>
        </w:rPr>
        <w:t>-at-W</w:t>
      </w:r>
      <w:r w:rsidRPr="006828C1">
        <w:rPr>
          <w:rFonts w:ascii="Verdana" w:hAnsi="Verdana" w:cstheme="minorHAnsi"/>
          <w:b/>
          <w:sz w:val="24"/>
          <w:szCs w:val="24"/>
        </w:rPr>
        <w:t xml:space="preserve">ork, </w:t>
      </w:r>
      <w:r w:rsidR="00C44039">
        <w:rPr>
          <w:rFonts w:ascii="Verdana" w:hAnsi="Verdana" w:cstheme="minorHAnsi"/>
          <w:b/>
          <w:sz w:val="24"/>
          <w:szCs w:val="24"/>
        </w:rPr>
        <w:t>R</w:t>
      </w:r>
      <w:r w:rsidRPr="006828C1">
        <w:rPr>
          <w:rFonts w:ascii="Verdana" w:hAnsi="Verdana" w:cstheme="minorHAnsi"/>
          <w:b/>
          <w:sz w:val="24"/>
          <w:szCs w:val="24"/>
        </w:rPr>
        <w:t>eturn-to-</w:t>
      </w:r>
      <w:r w:rsidR="00C44039">
        <w:rPr>
          <w:rFonts w:ascii="Verdana" w:hAnsi="Verdana" w:cstheme="minorHAnsi"/>
          <w:b/>
          <w:sz w:val="24"/>
          <w:szCs w:val="24"/>
        </w:rPr>
        <w:t>W</w:t>
      </w:r>
      <w:r w:rsidRPr="006828C1">
        <w:rPr>
          <w:rFonts w:ascii="Verdana" w:hAnsi="Verdana" w:cstheme="minorHAnsi"/>
          <w:b/>
          <w:sz w:val="24"/>
          <w:szCs w:val="24"/>
        </w:rPr>
        <w:t>ork</w:t>
      </w:r>
      <w:r w:rsidR="00C17598">
        <w:rPr>
          <w:rFonts w:ascii="Verdana" w:hAnsi="Verdana" w:cstheme="minorHAnsi"/>
          <w:b/>
          <w:sz w:val="24"/>
          <w:szCs w:val="24"/>
        </w:rPr>
        <w:t xml:space="preserve"> Strategies and Programs</w:t>
      </w:r>
    </w:p>
    <w:p w:rsidR="006828C1" w:rsidRDefault="003439C0" w:rsidP="00E40283">
      <w:pPr>
        <w:pStyle w:val="ListParagraph"/>
        <w:ind w:left="360"/>
        <w:rPr>
          <w:rFonts w:ascii="Verdana" w:hAnsi="Verdana" w:cstheme="minorHAnsi"/>
          <w:sz w:val="24"/>
          <w:szCs w:val="24"/>
        </w:rPr>
      </w:pPr>
      <w:hyperlink r:id="rId22" w:history="1">
        <w:r w:rsidR="006828C1" w:rsidRPr="00AE55D7">
          <w:rPr>
            <w:rStyle w:val="Hyperlink"/>
            <w:rFonts w:ascii="Verdana" w:hAnsi="Verdana" w:cstheme="minorHAnsi"/>
            <w:sz w:val="24"/>
            <w:szCs w:val="24"/>
          </w:rPr>
          <w:t>http://www.dol.gov/odep/topics/stay-at-work-return-to-work.htm</w:t>
        </w:r>
      </w:hyperlink>
    </w:p>
    <w:p w:rsidR="00C44039" w:rsidRDefault="00C17598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Supplemental Security </w:t>
      </w:r>
      <w:r w:rsidRPr="00C44039">
        <w:rPr>
          <w:rFonts w:ascii="Verdana" w:hAnsi="Verdana" w:cstheme="minorHAnsi"/>
          <w:b/>
          <w:sz w:val="24"/>
          <w:szCs w:val="24"/>
        </w:rPr>
        <w:t>Income</w:t>
      </w:r>
      <w:r w:rsidR="006828C1" w:rsidRPr="00C44039">
        <w:rPr>
          <w:rFonts w:ascii="Verdana" w:hAnsi="Verdana" w:cstheme="minorHAnsi"/>
          <w:b/>
          <w:sz w:val="24"/>
          <w:szCs w:val="24"/>
        </w:rPr>
        <w:t xml:space="preserve"> </w:t>
      </w:r>
      <w:r w:rsidR="00C44039" w:rsidRPr="00C44039">
        <w:rPr>
          <w:rFonts w:ascii="Verdana" w:hAnsi="Verdana" w:cstheme="minorHAnsi"/>
          <w:b/>
          <w:sz w:val="24"/>
          <w:szCs w:val="24"/>
        </w:rPr>
        <w:t>(SSI)</w:t>
      </w:r>
    </w:p>
    <w:p w:rsidR="006828C1" w:rsidRDefault="003439C0" w:rsidP="00C44039">
      <w:pPr>
        <w:pStyle w:val="ListParagraph"/>
        <w:ind w:left="360"/>
        <w:rPr>
          <w:rFonts w:ascii="Verdana" w:hAnsi="Verdana" w:cstheme="minorHAnsi"/>
          <w:sz w:val="24"/>
          <w:szCs w:val="24"/>
        </w:rPr>
      </w:pPr>
      <w:hyperlink r:id="rId23" w:history="1">
        <w:r w:rsidR="006828C1" w:rsidRPr="00AE55D7">
          <w:rPr>
            <w:rStyle w:val="Hyperlink"/>
            <w:rFonts w:ascii="Verdana" w:hAnsi="Verdana" w:cstheme="minorHAnsi"/>
            <w:sz w:val="24"/>
            <w:szCs w:val="24"/>
          </w:rPr>
          <w:t>https://www.ssa.gov/redbook/eng/overview-disability.htm</w:t>
        </w:r>
      </w:hyperlink>
    </w:p>
    <w:p w:rsidR="00C17598" w:rsidRPr="00C17598" w:rsidRDefault="006828C1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U.</w:t>
      </w:r>
      <w:r w:rsidRPr="006828C1">
        <w:rPr>
          <w:rFonts w:ascii="Verdana" w:hAnsi="Verdana" w:cstheme="minorHAnsi"/>
          <w:b/>
          <w:sz w:val="24"/>
          <w:szCs w:val="24"/>
        </w:rPr>
        <w:t>S</w:t>
      </w:r>
      <w:r>
        <w:rPr>
          <w:rFonts w:ascii="Verdana" w:hAnsi="Verdana" w:cstheme="minorHAnsi"/>
          <w:sz w:val="24"/>
          <w:szCs w:val="24"/>
        </w:rPr>
        <w:t xml:space="preserve"> </w:t>
      </w:r>
      <w:r w:rsidRPr="006828C1">
        <w:rPr>
          <w:rFonts w:ascii="Verdana" w:hAnsi="Verdana" w:cstheme="minorHAnsi"/>
          <w:b/>
          <w:sz w:val="24"/>
          <w:szCs w:val="24"/>
        </w:rPr>
        <w:t>Department of Labor</w:t>
      </w:r>
    </w:p>
    <w:p w:rsidR="006828C1" w:rsidRDefault="003439C0" w:rsidP="00E40283">
      <w:pPr>
        <w:pStyle w:val="ListParagraph"/>
        <w:ind w:left="360"/>
        <w:rPr>
          <w:rFonts w:ascii="Verdana" w:hAnsi="Verdana" w:cstheme="minorHAnsi"/>
          <w:sz w:val="24"/>
          <w:szCs w:val="24"/>
        </w:rPr>
      </w:pPr>
      <w:hyperlink r:id="rId24" w:history="1">
        <w:r w:rsidR="006828C1" w:rsidRPr="00AE55D7">
          <w:rPr>
            <w:rStyle w:val="Hyperlink"/>
            <w:rFonts w:ascii="Verdana" w:hAnsi="Verdana" w:cstheme="minorHAnsi"/>
            <w:sz w:val="24"/>
            <w:szCs w:val="24"/>
          </w:rPr>
          <w:t>http://dol.gov/odep</w:t>
        </w:r>
      </w:hyperlink>
      <w:r w:rsidR="006828C1">
        <w:rPr>
          <w:rFonts w:ascii="Verdana" w:hAnsi="Verdana" w:cstheme="minorHAnsi"/>
          <w:sz w:val="24"/>
          <w:szCs w:val="24"/>
        </w:rPr>
        <w:t xml:space="preserve"> </w:t>
      </w:r>
    </w:p>
    <w:p w:rsidR="006828C1" w:rsidRDefault="006828C1" w:rsidP="00E40283">
      <w:pPr>
        <w:pStyle w:val="ListParagraph"/>
        <w:numPr>
          <w:ilvl w:val="0"/>
          <w:numId w:val="1"/>
        </w:numPr>
        <w:ind w:left="36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Vocational Rehabilitation Program</w:t>
      </w:r>
      <w:r>
        <w:rPr>
          <w:rFonts w:ascii="Verdana" w:hAnsi="Verdana" w:cstheme="minorHAnsi"/>
          <w:sz w:val="24"/>
          <w:szCs w:val="24"/>
        </w:rPr>
        <w:t xml:space="preserve"> </w:t>
      </w:r>
      <w:hyperlink r:id="rId25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https://www2.ed.gov/programs/rsabvrs/index.html?exp=0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6828C1" w:rsidRDefault="006828C1" w:rsidP="00C44039">
      <w:pPr>
        <w:pStyle w:val="ListParagraph"/>
        <w:numPr>
          <w:ilvl w:val="0"/>
          <w:numId w:val="1"/>
        </w:numPr>
        <w:ind w:left="45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Workers’ Compensation</w:t>
      </w:r>
      <w:r>
        <w:rPr>
          <w:rFonts w:ascii="Verdana" w:hAnsi="Verdana" w:cstheme="minorHAnsi"/>
          <w:sz w:val="24"/>
          <w:szCs w:val="24"/>
        </w:rPr>
        <w:t xml:space="preserve"> </w:t>
      </w:r>
      <w:hyperlink r:id="rId26" w:history="1">
        <w:r w:rsidRPr="00AE55D7">
          <w:rPr>
            <w:rStyle w:val="Hyperlink"/>
            <w:rFonts w:ascii="Verdana" w:hAnsi="Verdana" w:cstheme="minorHAnsi"/>
            <w:sz w:val="24"/>
            <w:szCs w:val="24"/>
          </w:rPr>
          <w:t>https://www.nasi.org/sites/default/files/research/NASI_Workers%20Comp%20Report%202017_web.pdf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6828C1" w:rsidRDefault="006828C1" w:rsidP="006828C1">
      <w:pPr>
        <w:rPr>
          <w:rFonts w:ascii="Verdana" w:hAnsi="Verdana" w:cstheme="minorHAnsi"/>
          <w:sz w:val="24"/>
          <w:szCs w:val="24"/>
        </w:rPr>
      </w:pPr>
    </w:p>
    <w:p w:rsidR="006828C1" w:rsidRPr="00C44039" w:rsidRDefault="00C44039" w:rsidP="002D43C1">
      <w:pPr>
        <w:pStyle w:val="Heading1"/>
        <w:rPr>
          <w:rFonts w:ascii="Verdana" w:hAnsi="Verdana"/>
          <w:b/>
          <w:color w:val="auto"/>
          <w:sz w:val="28"/>
          <w:szCs w:val="28"/>
        </w:rPr>
      </w:pPr>
      <w:r w:rsidRPr="00C44039">
        <w:rPr>
          <w:rFonts w:ascii="Verdana" w:hAnsi="Verdana"/>
          <w:b/>
          <w:color w:val="auto"/>
          <w:sz w:val="28"/>
          <w:szCs w:val="28"/>
        </w:rPr>
        <w:t>Stay-at-W</w:t>
      </w:r>
      <w:r w:rsidR="006828C1" w:rsidRPr="00C44039">
        <w:rPr>
          <w:rFonts w:ascii="Verdana" w:hAnsi="Verdana"/>
          <w:b/>
          <w:color w:val="auto"/>
          <w:sz w:val="28"/>
          <w:szCs w:val="28"/>
        </w:rPr>
        <w:t>ork/Return-to-</w:t>
      </w:r>
      <w:r w:rsidRPr="00C44039">
        <w:rPr>
          <w:rFonts w:ascii="Verdana" w:hAnsi="Verdana"/>
          <w:b/>
          <w:color w:val="auto"/>
          <w:sz w:val="28"/>
          <w:szCs w:val="28"/>
        </w:rPr>
        <w:t>W</w:t>
      </w:r>
      <w:r w:rsidR="006828C1" w:rsidRPr="00C44039">
        <w:rPr>
          <w:rFonts w:ascii="Verdana" w:hAnsi="Verdana"/>
          <w:b/>
          <w:color w:val="auto"/>
          <w:sz w:val="28"/>
          <w:szCs w:val="28"/>
        </w:rPr>
        <w:t xml:space="preserve">ork </w:t>
      </w:r>
      <w:r>
        <w:rPr>
          <w:rFonts w:ascii="Verdana" w:hAnsi="Verdana"/>
          <w:b/>
          <w:color w:val="auto"/>
          <w:sz w:val="28"/>
          <w:szCs w:val="28"/>
        </w:rPr>
        <w:t xml:space="preserve">State </w:t>
      </w:r>
      <w:r w:rsidR="006828C1" w:rsidRPr="00C44039">
        <w:rPr>
          <w:rFonts w:ascii="Verdana" w:hAnsi="Verdana"/>
          <w:b/>
          <w:color w:val="auto"/>
          <w:sz w:val="28"/>
          <w:szCs w:val="28"/>
        </w:rPr>
        <w:t>Guides</w:t>
      </w:r>
    </w:p>
    <w:p w:rsidR="002D43C1" w:rsidRPr="002D43C1" w:rsidRDefault="002D43C1" w:rsidP="002D43C1"/>
    <w:p w:rsidR="00731B19" w:rsidRPr="00731B19" w:rsidRDefault="00731B19" w:rsidP="00C44039">
      <w:pPr>
        <w:pStyle w:val="ListParagraph"/>
        <w:numPr>
          <w:ilvl w:val="0"/>
          <w:numId w:val="2"/>
        </w:numPr>
        <w:ind w:left="360"/>
        <w:rPr>
          <w:rFonts w:ascii="Verdana" w:hAnsi="Verdana" w:cstheme="minorHAnsi"/>
          <w:sz w:val="24"/>
          <w:szCs w:val="24"/>
        </w:rPr>
      </w:pPr>
      <w:r w:rsidRPr="00731B19">
        <w:rPr>
          <w:rFonts w:ascii="Verdana" w:hAnsi="Verdana"/>
          <w:b/>
          <w:sz w:val="24"/>
          <w:szCs w:val="24"/>
        </w:rPr>
        <w:t>California</w:t>
      </w:r>
      <w:r w:rsidRPr="00731B19">
        <w:rPr>
          <w:rFonts w:ascii="Verdana" w:hAnsi="Verdana"/>
          <w:sz w:val="24"/>
          <w:szCs w:val="24"/>
        </w:rPr>
        <w:t>: Helping Injured Employees Return to Work: Practical Guidance Under Workers’ Compensation and Disabili</w:t>
      </w:r>
      <w:r w:rsidR="00B61BB6">
        <w:rPr>
          <w:rFonts w:ascii="Verdana" w:hAnsi="Verdana"/>
          <w:sz w:val="24"/>
          <w:szCs w:val="24"/>
        </w:rPr>
        <w:t xml:space="preserve">ty Rights Laws (February 2010) </w:t>
      </w:r>
      <w:hyperlink r:id="rId27" w:history="1">
        <w:r w:rsidRPr="00731B19">
          <w:rPr>
            <w:rStyle w:val="Hyperlink"/>
            <w:rFonts w:ascii="Verdana" w:hAnsi="Verdana"/>
            <w:sz w:val="24"/>
            <w:szCs w:val="24"/>
          </w:rPr>
          <w:t>https://www.dir.ca.gov/chswc/Reports/2010/HandbookRTW_2010.pdf</w:t>
        </w:r>
      </w:hyperlink>
    </w:p>
    <w:p w:rsidR="00731B19" w:rsidRPr="00731B19" w:rsidRDefault="00731B19" w:rsidP="00C44039">
      <w:pPr>
        <w:pStyle w:val="ListParagraph"/>
        <w:numPr>
          <w:ilvl w:val="0"/>
          <w:numId w:val="2"/>
        </w:numPr>
        <w:ind w:left="360"/>
        <w:rPr>
          <w:rFonts w:ascii="Verdana" w:hAnsi="Verdana" w:cstheme="minorHAnsi"/>
          <w:sz w:val="24"/>
          <w:szCs w:val="24"/>
        </w:rPr>
      </w:pPr>
      <w:r w:rsidRPr="00731B19">
        <w:rPr>
          <w:rFonts w:ascii="Verdana" w:hAnsi="Verdana"/>
          <w:b/>
          <w:sz w:val="24"/>
          <w:szCs w:val="24"/>
        </w:rPr>
        <w:t>Georgia</w:t>
      </w:r>
      <w:r w:rsidRPr="00731B19">
        <w:rPr>
          <w:rFonts w:ascii="Verdana" w:hAnsi="Verdana"/>
          <w:sz w:val="24"/>
          <w:szCs w:val="24"/>
        </w:rPr>
        <w:t>: Model Return to Work Program (State Board of Worke</w:t>
      </w:r>
      <w:r w:rsidR="00B61BB6">
        <w:rPr>
          <w:rFonts w:ascii="Verdana" w:hAnsi="Verdana"/>
          <w:sz w:val="24"/>
          <w:szCs w:val="24"/>
        </w:rPr>
        <w:t xml:space="preserve">rs’ Compensation, 2013) </w:t>
      </w:r>
      <w:hyperlink r:id="rId28" w:history="1">
        <w:r w:rsidRPr="00731B19">
          <w:rPr>
            <w:rStyle w:val="Hyperlink"/>
            <w:rFonts w:ascii="Verdana" w:hAnsi="Verdana"/>
            <w:sz w:val="24"/>
            <w:szCs w:val="24"/>
          </w:rPr>
          <w:t>https://sbwc.georgia.gov/sites/sbwc.georgia.gov/files/related_files/site_page/ModelReturnToWorkProgram.pdf</w:t>
        </w:r>
      </w:hyperlink>
      <w:r w:rsidRPr="00731B19">
        <w:rPr>
          <w:rFonts w:ascii="Verdana" w:hAnsi="Verdana"/>
          <w:sz w:val="24"/>
          <w:szCs w:val="24"/>
        </w:rPr>
        <w:t xml:space="preserve"> </w:t>
      </w:r>
    </w:p>
    <w:p w:rsidR="00731B19" w:rsidRPr="00731B19" w:rsidRDefault="00731B19" w:rsidP="00C44039">
      <w:pPr>
        <w:pStyle w:val="ListParagraph"/>
        <w:numPr>
          <w:ilvl w:val="0"/>
          <w:numId w:val="2"/>
        </w:numPr>
        <w:ind w:left="360"/>
        <w:rPr>
          <w:rFonts w:ascii="Verdana" w:hAnsi="Verdana" w:cstheme="minorHAnsi"/>
          <w:sz w:val="24"/>
          <w:szCs w:val="24"/>
        </w:rPr>
      </w:pPr>
      <w:r w:rsidRPr="00731B19">
        <w:rPr>
          <w:rFonts w:ascii="Verdana" w:hAnsi="Verdana"/>
          <w:b/>
          <w:sz w:val="24"/>
          <w:szCs w:val="24"/>
        </w:rPr>
        <w:t>Maryland</w:t>
      </w:r>
      <w:r w:rsidRPr="00731B19">
        <w:rPr>
          <w:rFonts w:ascii="Verdana" w:hAnsi="Verdana"/>
          <w:sz w:val="24"/>
          <w:szCs w:val="24"/>
        </w:rPr>
        <w:t xml:space="preserve">: Managed Return to Work Program Policy Requirements and Procedures </w:t>
      </w:r>
      <w:r w:rsidR="00B61BB6">
        <w:rPr>
          <w:rFonts w:ascii="Verdana" w:hAnsi="Verdana"/>
          <w:sz w:val="24"/>
          <w:szCs w:val="24"/>
        </w:rPr>
        <w:t>(</w:t>
      </w:r>
      <w:r w:rsidRPr="00731B19">
        <w:rPr>
          <w:rFonts w:ascii="Verdana" w:hAnsi="Verdana"/>
          <w:sz w:val="24"/>
          <w:szCs w:val="24"/>
        </w:rPr>
        <w:t>Maryland Department o</w:t>
      </w:r>
      <w:r w:rsidR="00B61BB6">
        <w:rPr>
          <w:rFonts w:ascii="Verdana" w:hAnsi="Verdana"/>
          <w:sz w:val="24"/>
          <w:szCs w:val="24"/>
        </w:rPr>
        <w:t xml:space="preserve">f Budget and Management, 2015) </w:t>
      </w:r>
      <w:hyperlink r:id="rId29" w:history="1">
        <w:r w:rsidRPr="00731B19">
          <w:rPr>
            <w:rStyle w:val="Hyperlink"/>
            <w:rFonts w:ascii="Verdana" w:hAnsi="Verdana"/>
            <w:sz w:val="24"/>
            <w:szCs w:val="24"/>
          </w:rPr>
          <w:t>https://dbm.maryland.gov/employees/Documents/MedicalServices/MRTW.pdf</w:t>
        </w:r>
      </w:hyperlink>
    </w:p>
    <w:p w:rsidR="00B61BB6" w:rsidRPr="00B61BB6" w:rsidRDefault="00731B19" w:rsidP="00C44039">
      <w:pPr>
        <w:pStyle w:val="ListParagraph"/>
        <w:numPr>
          <w:ilvl w:val="0"/>
          <w:numId w:val="2"/>
        </w:numPr>
        <w:ind w:left="360"/>
        <w:rPr>
          <w:rFonts w:ascii="Verdana" w:hAnsi="Verdana" w:cstheme="minorHAnsi"/>
          <w:sz w:val="24"/>
          <w:szCs w:val="24"/>
        </w:rPr>
      </w:pPr>
      <w:r w:rsidRPr="00731B19">
        <w:rPr>
          <w:rFonts w:ascii="Verdana" w:hAnsi="Verdana"/>
          <w:b/>
          <w:sz w:val="24"/>
          <w:szCs w:val="24"/>
        </w:rPr>
        <w:t>Montana</w:t>
      </w:r>
      <w:r w:rsidRPr="00731B19">
        <w:rPr>
          <w:rFonts w:ascii="Verdana" w:hAnsi="Verdana"/>
          <w:sz w:val="24"/>
          <w:szCs w:val="24"/>
        </w:rPr>
        <w:t>: Stay at Work/Return to Work Best Practices (</w:t>
      </w:r>
      <w:proofErr w:type="spellStart"/>
      <w:r w:rsidRPr="00731B19">
        <w:rPr>
          <w:rFonts w:ascii="Verdana" w:hAnsi="Verdana"/>
          <w:sz w:val="24"/>
          <w:szCs w:val="24"/>
        </w:rPr>
        <w:t>WorkSafe</w:t>
      </w:r>
      <w:proofErr w:type="spellEnd"/>
      <w:r w:rsidRPr="00731B19">
        <w:rPr>
          <w:rFonts w:ascii="Verdana" w:hAnsi="Verdana"/>
          <w:sz w:val="24"/>
          <w:szCs w:val="24"/>
        </w:rPr>
        <w:t xml:space="preserve"> Montana, 2014) </w:t>
      </w:r>
    </w:p>
    <w:p w:rsidR="00731B19" w:rsidRPr="00731B19" w:rsidRDefault="003439C0" w:rsidP="00C44039">
      <w:pPr>
        <w:pStyle w:val="ListParagraph"/>
        <w:ind w:left="360"/>
        <w:rPr>
          <w:rFonts w:ascii="Verdana" w:hAnsi="Verdana" w:cstheme="minorHAnsi"/>
          <w:sz w:val="24"/>
          <w:szCs w:val="24"/>
        </w:rPr>
      </w:pPr>
      <w:hyperlink r:id="rId30" w:history="1">
        <w:r w:rsidR="00731B19" w:rsidRPr="00731B19">
          <w:rPr>
            <w:rStyle w:val="Hyperlink"/>
            <w:rFonts w:ascii="Verdana" w:hAnsi="Verdana"/>
            <w:sz w:val="24"/>
            <w:szCs w:val="24"/>
          </w:rPr>
          <w:t>https://www.worksafemt.com/media/WSMT_SAW-RTW_ Best_Practices.pdf</w:t>
        </w:r>
      </w:hyperlink>
    </w:p>
    <w:p w:rsidR="00731B19" w:rsidRPr="00731B19" w:rsidRDefault="00731B19" w:rsidP="00C44039">
      <w:pPr>
        <w:pStyle w:val="ListParagraph"/>
        <w:numPr>
          <w:ilvl w:val="0"/>
          <w:numId w:val="2"/>
        </w:numPr>
        <w:ind w:left="360"/>
        <w:rPr>
          <w:rFonts w:ascii="Verdana" w:hAnsi="Verdana" w:cstheme="minorHAnsi"/>
          <w:sz w:val="24"/>
          <w:szCs w:val="24"/>
        </w:rPr>
      </w:pPr>
      <w:r w:rsidRPr="00731B19">
        <w:rPr>
          <w:rFonts w:ascii="Verdana" w:hAnsi="Verdana"/>
          <w:b/>
          <w:sz w:val="24"/>
          <w:szCs w:val="24"/>
        </w:rPr>
        <w:lastRenderedPageBreak/>
        <w:t>New York</w:t>
      </w:r>
      <w:r w:rsidRPr="00731B19">
        <w:rPr>
          <w:rFonts w:ascii="Verdana" w:hAnsi="Verdana"/>
          <w:sz w:val="24"/>
          <w:szCs w:val="24"/>
        </w:rPr>
        <w:t>: Return to Work Program (New York Stat</w:t>
      </w:r>
      <w:r w:rsidR="00B61BB6">
        <w:rPr>
          <w:rFonts w:ascii="Verdana" w:hAnsi="Verdana"/>
          <w:sz w:val="24"/>
          <w:szCs w:val="24"/>
        </w:rPr>
        <w:t xml:space="preserve">e Workers’ Compensation Board) </w:t>
      </w:r>
      <w:hyperlink r:id="rId31" w:history="1">
        <w:r w:rsidRPr="00731B19">
          <w:rPr>
            <w:rStyle w:val="Hyperlink"/>
            <w:rFonts w:ascii="Verdana" w:hAnsi="Verdana"/>
            <w:sz w:val="24"/>
            <w:szCs w:val="24"/>
          </w:rPr>
          <w:t>http://www.wcb.ny.gov/content/main/ReturnToWork/ReturnToWork.jsp</w:t>
        </w:r>
      </w:hyperlink>
    </w:p>
    <w:p w:rsidR="00731B19" w:rsidRPr="00731B19" w:rsidRDefault="00731B19" w:rsidP="00C44039">
      <w:pPr>
        <w:pStyle w:val="ListParagraph"/>
        <w:numPr>
          <w:ilvl w:val="0"/>
          <w:numId w:val="2"/>
        </w:numPr>
        <w:ind w:left="360"/>
        <w:rPr>
          <w:rFonts w:ascii="Verdana" w:hAnsi="Verdana" w:cstheme="minorHAnsi"/>
          <w:sz w:val="24"/>
          <w:szCs w:val="24"/>
        </w:rPr>
      </w:pPr>
      <w:r w:rsidRPr="00731B19">
        <w:rPr>
          <w:rFonts w:ascii="Verdana" w:hAnsi="Verdana"/>
          <w:b/>
          <w:sz w:val="24"/>
          <w:szCs w:val="24"/>
        </w:rPr>
        <w:t>Texas</w:t>
      </w:r>
      <w:r w:rsidRPr="00731B19">
        <w:rPr>
          <w:rFonts w:ascii="Verdana" w:hAnsi="Verdana"/>
          <w:sz w:val="24"/>
          <w:szCs w:val="24"/>
        </w:rPr>
        <w:t>: Return to Work W</w:t>
      </w:r>
      <w:r w:rsidR="00C17598">
        <w:rPr>
          <w:rFonts w:ascii="Verdana" w:hAnsi="Verdana"/>
          <w:sz w:val="24"/>
          <w:szCs w:val="24"/>
        </w:rPr>
        <w:t>orks for You &amp; Your Employees</w:t>
      </w:r>
      <w:r w:rsidRPr="00731B19">
        <w:rPr>
          <w:rFonts w:ascii="Verdana" w:hAnsi="Verdana"/>
          <w:sz w:val="24"/>
          <w:szCs w:val="24"/>
        </w:rPr>
        <w:t xml:space="preserve"> (</w:t>
      </w:r>
      <w:r w:rsidR="00B61BB6">
        <w:rPr>
          <w:rFonts w:ascii="Verdana" w:hAnsi="Verdana"/>
          <w:sz w:val="24"/>
          <w:szCs w:val="24"/>
        </w:rPr>
        <w:t xml:space="preserve">Texas Dept. of Insurance, </w:t>
      </w:r>
      <w:r w:rsidRPr="00731B19">
        <w:rPr>
          <w:rFonts w:ascii="Verdana" w:hAnsi="Verdana"/>
          <w:sz w:val="24"/>
          <w:szCs w:val="24"/>
        </w:rPr>
        <w:t>Divi</w:t>
      </w:r>
      <w:r w:rsidR="00B61BB6">
        <w:rPr>
          <w:rFonts w:ascii="Verdana" w:hAnsi="Verdana"/>
          <w:sz w:val="24"/>
          <w:szCs w:val="24"/>
        </w:rPr>
        <w:t xml:space="preserve">sion of Workers’ Compensation) </w:t>
      </w:r>
      <w:hyperlink r:id="rId32" w:history="1">
        <w:r w:rsidRPr="00731B19">
          <w:rPr>
            <w:rStyle w:val="Hyperlink"/>
            <w:rFonts w:ascii="Verdana" w:hAnsi="Verdana"/>
            <w:sz w:val="24"/>
            <w:szCs w:val="24"/>
          </w:rPr>
          <w:t>https://www.tdi.texas.gov/wc/rtw/documents/rtwguide.pdf</w:t>
        </w:r>
      </w:hyperlink>
    </w:p>
    <w:p w:rsidR="00731B19" w:rsidRPr="00731B19" w:rsidRDefault="00731B19" w:rsidP="00C44039">
      <w:pPr>
        <w:pStyle w:val="ListParagraph"/>
        <w:numPr>
          <w:ilvl w:val="0"/>
          <w:numId w:val="2"/>
        </w:numPr>
        <w:ind w:left="360"/>
        <w:rPr>
          <w:rFonts w:ascii="Verdana" w:hAnsi="Verdana" w:cstheme="minorHAnsi"/>
          <w:sz w:val="24"/>
          <w:szCs w:val="24"/>
        </w:rPr>
      </w:pPr>
      <w:r w:rsidRPr="00731B19">
        <w:rPr>
          <w:rFonts w:ascii="Verdana" w:hAnsi="Verdana"/>
          <w:b/>
          <w:sz w:val="24"/>
          <w:szCs w:val="24"/>
        </w:rPr>
        <w:t>Washington</w:t>
      </w:r>
      <w:r w:rsidRPr="00731B19">
        <w:rPr>
          <w:rFonts w:ascii="Verdana" w:hAnsi="Verdana"/>
          <w:sz w:val="24"/>
          <w:szCs w:val="24"/>
        </w:rPr>
        <w:t xml:space="preserve">: The Complete Stay at Work Guide for Employers (Washington State Department </w:t>
      </w:r>
      <w:r w:rsidR="00B61BB6">
        <w:rPr>
          <w:rFonts w:ascii="Verdana" w:hAnsi="Verdana"/>
          <w:sz w:val="24"/>
          <w:szCs w:val="24"/>
        </w:rPr>
        <w:t xml:space="preserve">of Labor and Industries, 2015) </w:t>
      </w:r>
      <w:hyperlink r:id="rId33" w:history="1">
        <w:r w:rsidRPr="00731B19">
          <w:rPr>
            <w:rStyle w:val="Hyperlink"/>
            <w:rFonts w:ascii="Verdana" w:hAnsi="Verdana"/>
            <w:sz w:val="24"/>
            <w:szCs w:val="24"/>
          </w:rPr>
          <w:t>https://www.lni.wa.gov/IPUB/243-005-000.pdf</w:t>
        </w:r>
      </w:hyperlink>
      <w:r w:rsidRPr="00731B19">
        <w:rPr>
          <w:rFonts w:ascii="Verdana" w:hAnsi="Verdana"/>
          <w:sz w:val="24"/>
          <w:szCs w:val="24"/>
        </w:rPr>
        <w:t xml:space="preserve"> </w:t>
      </w:r>
    </w:p>
    <w:p w:rsidR="00731B19" w:rsidRPr="00731B19" w:rsidRDefault="00731B19" w:rsidP="00C44039">
      <w:pPr>
        <w:pStyle w:val="ListParagraph"/>
        <w:numPr>
          <w:ilvl w:val="0"/>
          <w:numId w:val="2"/>
        </w:numPr>
        <w:ind w:left="360"/>
        <w:rPr>
          <w:rFonts w:ascii="Verdana" w:hAnsi="Verdana" w:cstheme="minorHAnsi"/>
          <w:sz w:val="24"/>
          <w:szCs w:val="24"/>
        </w:rPr>
      </w:pPr>
      <w:r w:rsidRPr="00731B19">
        <w:rPr>
          <w:rFonts w:ascii="Verdana" w:hAnsi="Verdana"/>
          <w:b/>
          <w:sz w:val="24"/>
          <w:szCs w:val="24"/>
        </w:rPr>
        <w:t>Washington</w:t>
      </w:r>
      <w:r w:rsidRPr="00731B19">
        <w:rPr>
          <w:rFonts w:ascii="Verdana" w:hAnsi="Verdana"/>
          <w:sz w:val="24"/>
          <w:szCs w:val="24"/>
        </w:rPr>
        <w:t>: Employer’s Return to Work Guide (Financial Incentives available from Washington State Depar</w:t>
      </w:r>
      <w:r w:rsidR="00B61BB6">
        <w:rPr>
          <w:rFonts w:ascii="Verdana" w:hAnsi="Verdana"/>
          <w:sz w:val="24"/>
          <w:szCs w:val="24"/>
        </w:rPr>
        <w:t xml:space="preserve">tment of Labor and Industries) </w:t>
      </w:r>
      <w:hyperlink r:id="rId34" w:history="1">
        <w:r w:rsidRPr="00731B19">
          <w:rPr>
            <w:rStyle w:val="Hyperlink"/>
            <w:rFonts w:ascii="Verdana" w:hAnsi="Verdana"/>
            <w:sz w:val="24"/>
            <w:szCs w:val="24"/>
          </w:rPr>
          <w:t>https://www.lni.wa.gov/IPUB/200-003-000.pdf</w:t>
        </w:r>
      </w:hyperlink>
      <w:r w:rsidRPr="00731B19">
        <w:rPr>
          <w:rFonts w:ascii="Verdana" w:hAnsi="Verdana"/>
          <w:sz w:val="24"/>
          <w:szCs w:val="24"/>
        </w:rPr>
        <w:t xml:space="preserve"> </w:t>
      </w:r>
    </w:p>
    <w:p w:rsidR="00731B19" w:rsidRPr="003439C0" w:rsidRDefault="00731B19" w:rsidP="00C44039">
      <w:pPr>
        <w:pStyle w:val="ListParagraph"/>
        <w:numPr>
          <w:ilvl w:val="0"/>
          <w:numId w:val="2"/>
        </w:numPr>
        <w:ind w:left="360"/>
        <w:rPr>
          <w:rStyle w:val="Hyperlink"/>
          <w:rFonts w:ascii="Verdana" w:hAnsi="Verdana" w:cstheme="minorHAnsi"/>
          <w:color w:val="auto"/>
          <w:sz w:val="24"/>
          <w:szCs w:val="24"/>
          <w:u w:val="none"/>
        </w:rPr>
      </w:pPr>
      <w:r w:rsidRPr="00731B19">
        <w:rPr>
          <w:rFonts w:ascii="Verdana" w:hAnsi="Verdana"/>
          <w:b/>
          <w:sz w:val="24"/>
          <w:szCs w:val="24"/>
        </w:rPr>
        <w:t>West Virginia</w:t>
      </w:r>
      <w:r w:rsidRPr="00731B19">
        <w:rPr>
          <w:rFonts w:ascii="Verdana" w:hAnsi="Verdana"/>
          <w:sz w:val="24"/>
          <w:szCs w:val="24"/>
        </w:rPr>
        <w:t>: West Virginia State Agen</w:t>
      </w:r>
      <w:r w:rsidR="00B61BB6">
        <w:rPr>
          <w:rFonts w:ascii="Verdana" w:hAnsi="Verdana"/>
          <w:sz w:val="24"/>
          <w:szCs w:val="24"/>
        </w:rPr>
        <w:t xml:space="preserve">cies Return-to-Work Guidelines </w:t>
      </w:r>
      <w:hyperlink r:id="rId35" w:history="1">
        <w:r w:rsidRPr="00731B19">
          <w:rPr>
            <w:rStyle w:val="Hyperlink"/>
            <w:rFonts w:ascii="Verdana" w:hAnsi="Verdana"/>
            <w:sz w:val="24"/>
            <w:szCs w:val="24"/>
          </w:rPr>
          <w:t>http://www.wvinsurance.gov/Portals/0/pdf/SAWC%20RTW.p</w:t>
        </w:r>
      </w:hyperlink>
    </w:p>
    <w:p w:rsidR="003439C0" w:rsidRPr="00596E9F" w:rsidRDefault="003439C0" w:rsidP="00596E9F">
      <w:pPr>
        <w:spacing w:line="360" w:lineRule="auto"/>
        <w:rPr>
          <w:rStyle w:val="A3"/>
          <w:rFonts w:ascii="Verdana" w:hAnsi="Verdana"/>
          <w:i w:val="0"/>
        </w:rPr>
      </w:pPr>
    </w:p>
    <w:p w:rsidR="00596E9F" w:rsidRDefault="003439C0" w:rsidP="00596E9F">
      <w:pPr>
        <w:spacing w:after="0" w:line="240" w:lineRule="auto"/>
        <w:contextualSpacing/>
        <w:rPr>
          <w:rFonts w:ascii="Verdana" w:eastAsia="Times New Roman" w:hAnsi="Verdana" w:cs="Arial"/>
          <w:i/>
          <w:sz w:val="20"/>
          <w:szCs w:val="20"/>
          <w:u w:val="single"/>
          <w:lang w:val="en"/>
        </w:rPr>
      </w:pPr>
      <w:r w:rsidRPr="006C5ADF">
        <w:rPr>
          <w:rStyle w:val="A3"/>
          <w:rFonts w:ascii="Verdana" w:hAnsi="Verdana"/>
        </w:rPr>
        <w:t xml:space="preserve">Source: </w:t>
      </w:r>
      <w:hyperlink r:id="rId36" w:history="1">
        <w:r w:rsidR="00596E9F" w:rsidRPr="00CC151E">
          <w:rPr>
            <w:rStyle w:val="Hyperlink"/>
            <w:rFonts w:ascii="Verdana" w:hAnsi="Verdana" w:cs="KFAYQ H+ Times Ten LT"/>
            <w:sz w:val="20"/>
            <w:szCs w:val="20"/>
          </w:rPr>
          <w:t>https://www.csg.org/seed_report.pdf</w:t>
        </w:r>
      </w:hyperlink>
    </w:p>
    <w:p w:rsidR="00596E9F" w:rsidRDefault="00596E9F" w:rsidP="00596E9F">
      <w:pPr>
        <w:spacing w:after="0" w:line="240" w:lineRule="auto"/>
        <w:contextualSpacing/>
        <w:rPr>
          <w:rStyle w:val="A3"/>
          <w:rFonts w:ascii="Verdana" w:hAnsi="Verdana"/>
        </w:rPr>
      </w:pPr>
      <w:bookmarkStart w:id="0" w:name="_GoBack"/>
      <w:bookmarkEnd w:id="0"/>
    </w:p>
    <w:p w:rsidR="003439C0" w:rsidRPr="006C5ADF" w:rsidRDefault="003439C0" w:rsidP="006C5ADF">
      <w:pPr>
        <w:spacing w:after="0"/>
        <w:rPr>
          <w:rFonts w:ascii="Verdana" w:hAnsi="Verdana" w:cstheme="minorHAnsi"/>
          <w:sz w:val="24"/>
          <w:szCs w:val="24"/>
        </w:rPr>
      </w:pPr>
      <w:r w:rsidRPr="006C5ADF">
        <w:rPr>
          <w:rStyle w:val="A3"/>
          <w:rFonts w:ascii="Verdana" w:hAnsi="Verdana"/>
        </w:rPr>
        <w:t xml:space="preserve">This Toolkit </w:t>
      </w:r>
      <w:proofErr w:type="gramStart"/>
      <w:r w:rsidRPr="006C5ADF">
        <w:rPr>
          <w:rStyle w:val="A3"/>
          <w:rFonts w:ascii="Verdana" w:hAnsi="Verdana"/>
        </w:rPr>
        <w:t>was funded</w:t>
      </w:r>
      <w:proofErr w:type="gramEnd"/>
      <w:r w:rsidRPr="006C5ADF">
        <w:rPr>
          <w:rStyle w:val="A3"/>
          <w:rFonts w:ascii="Verdana" w:hAnsi="Verdana"/>
        </w:rPr>
        <w:t xml:space="preserve"> by the U.S. Department of Labor, Office of Disability Employment Policy’s State Exchange on Employment &amp; Disability (SEED) in its efforts to foster a nationwide workforce more inclusive of people with disabilities. </w:t>
      </w:r>
      <w:r w:rsidR="006C5ADF">
        <w:rPr>
          <w:rStyle w:val="A3"/>
          <w:rFonts w:ascii="Verdana" w:hAnsi="Verdana"/>
        </w:rPr>
        <w:t>The Council of State Governments (CSG)</w:t>
      </w:r>
      <w:r w:rsidRPr="006C5ADF">
        <w:rPr>
          <w:rStyle w:val="A3"/>
          <w:rFonts w:ascii="Verdana" w:hAnsi="Verdana"/>
        </w:rPr>
        <w:t xml:space="preserve"> released </w:t>
      </w:r>
      <w:r w:rsidR="006C5ADF">
        <w:rPr>
          <w:rStyle w:val="A3"/>
          <w:rFonts w:ascii="Verdana" w:hAnsi="Verdana"/>
        </w:rPr>
        <w:t xml:space="preserve">the toolkit </w:t>
      </w:r>
      <w:r w:rsidRPr="006C5ADF">
        <w:rPr>
          <w:rStyle w:val="A3"/>
          <w:rFonts w:ascii="Verdana" w:hAnsi="Verdana"/>
        </w:rPr>
        <w:t>in 2018</w:t>
      </w:r>
      <w:r w:rsidR="006C5ADF">
        <w:rPr>
          <w:rStyle w:val="A3"/>
          <w:rFonts w:ascii="Verdana" w:hAnsi="Verdana"/>
        </w:rPr>
        <w:t xml:space="preserve"> to help state officials increase the employment retention and labor force participation of individuals who acquire and/or are at risk of developing work disabilities, whether on-the-job or </w:t>
      </w:r>
      <w:proofErr w:type="gramStart"/>
      <w:r w:rsidR="006C5ADF">
        <w:rPr>
          <w:rStyle w:val="A3"/>
          <w:rFonts w:ascii="Verdana" w:hAnsi="Verdana"/>
        </w:rPr>
        <w:t>off-the-job</w:t>
      </w:r>
      <w:proofErr w:type="gramEnd"/>
      <w:r w:rsidRPr="006C5ADF">
        <w:rPr>
          <w:rStyle w:val="A3"/>
          <w:rFonts w:ascii="Verdana" w:hAnsi="Verdana"/>
        </w:rPr>
        <w:t>.</w:t>
      </w:r>
    </w:p>
    <w:sectPr w:rsidR="003439C0" w:rsidRPr="006C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FAYQ H+ Times Ten LT">
    <w:altName w:val="Times Ten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6851"/>
    <w:multiLevelType w:val="hybridMultilevel"/>
    <w:tmpl w:val="64A2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7ADF"/>
    <w:multiLevelType w:val="hybridMultilevel"/>
    <w:tmpl w:val="0E60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3F"/>
    <w:rsid w:val="00190CD4"/>
    <w:rsid w:val="002D43C1"/>
    <w:rsid w:val="003439C0"/>
    <w:rsid w:val="003600F0"/>
    <w:rsid w:val="00485172"/>
    <w:rsid w:val="00495C2C"/>
    <w:rsid w:val="0053283F"/>
    <w:rsid w:val="00596E9F"/>
    <w:rsid w:val="006828C1"/>
    <w:rsid w:val="006C5ADF"/>
    <w:rsid w:val="00731B19"/>
    <w:rsid w:val="00B61BB6"/>
    <w:rsid w:val="00BE11BB"/>
    <w:rsid w:val="00C17598"/>
    <w:rsid w:val="00C44039"/>
    <w:rsid w:val="00E40283"/>
    <w:rsid w:val="00E6680B"/>
    <w:rsid w:val="00EB453C"/>
    <w:rsid w:val="00F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D5F8"/>
  <w15:chartTrackingRefBased/>
  <w15:docId w15:val="{3D27160E-8798-4223-9252-49F0EF89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83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D43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3439C0"/>
    <w:rPr>
      <w:i/>
      <w:iCs/>
    </w:rPr>
  </w:style>
  <w:style w:type="character" w:customStyle="1" w:styleId="A3">
    <w:name w:val="A3"/>
    <w:uiPriority w:val="99"/>
    <w:rsid w:val="003439C0"/>
    <w:rPr>
      <w:rFonts w:cs="KFAYQ H+ Times Ten LT"/>
      <w:i/>
      <w:i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57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0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2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1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11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79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56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92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12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laws/regulations/adaaa_fact_sheet.cfm" TargetMode="External"/><Relationship Id="rId13" Type="http://schemas.openxmlformats.org/officeDocument/2006/relationships/hyperlink" Target="https://www.ssa.gov/disability/professionals/bluebook/AdultListings.htm" TargetMode="External"/><Relationship Id="rId18" Type="http://schemas.openxmlformats.org/officeDocument/2006/relationships/hyperlink" Target="https://www.eeoc.gov/policy/docs/accommodation.html" TargetMode="External"/><Relationship Id="rId26" Type="http://schemas.openxmlformats.org/officeDocument/2006/relationships/hyperlink" Target="https://www.nasi.org/sites/default/files/research/NASI_Workers%20Comp%20Report%202017_we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kearn.org/state-vocational-rehabilitation-agencies/" TargetMode="External"/><Relationship Id="rId34" Type="http://schemas.openxmlformats.org/officeDocument/2006/relationships/hyperlink" Target="https://www.lni.wa.gov/IPUB/200-003-000.pdf" TargetMode="External"/><Relationship Id="rId7" Type="http://schemas.openxmlformats.org/officeDocument/2006/relationships/hyperlink" Target="https://www.eeoc.gov/policy/docs/workcomp.html" TargetMode="External"/><Relationship Id="rId12" Type="http://schemas.openxmlformats.org/officeDocument/2006/relationships/hyperlink" Target="https://www.dol.gov/whd/fmla/?apartner=aarp" TargetMode="External"/><Relationship Id="rId17" Type="http://schemas.openxmlformats.org/officeDocument/2006/relationships/hyperlink" Target="https://www.dol.gov/odep/topics/pdf/PAP_Transition%20Back%20to%20Work%20FINAL_2017-09-07.pdf" TargetMode="External"/><Relationship Id="rId25" Type="http://schemas.openxmlformats.org/officeDocument/2006/relationships/hyperlink" Target="https://www2.ed.gov/programs/rsabvrs/index.html?exp=0" TargetMode="External"/><Relationship Id="rId33" Type="http://schemas.openxmlformats.org/officeDocument/2006/relationships/hyperlink" Target="https://www.lni.wa.gov/IPUB/243-005-000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ol.gov/odep" TargetMode="External"/><Relationship Id="rId20" Type="http://schemas.openxmlformats.org/officeDocument/2006/relationships/hyperlink" Target="https://www.ssa.gov/redbook/eng/overview-disability.htm" TargetMode="External"/><Relationship Id="rId29" Type="http://schemas.openxmlformats.org/officeDocument/2006/relationships/hyperlink" Target="https://dbm.maryland.gov/employees/Documents/MedicalServices/MRTW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eoc.gov/laws/types/disability_regulations.cfm" TargetMode="External"/><Relationship Id="rId11" Type="http://schemas.openxmlformats.org/officeDocument/2006/relationships/hyperlink" Target="https://www.dol.gov/odep/topics/pdf/PAP_Transition%20Back%20to%20Work%20FINAL_2017-09-07.pdf" TargetMode="External"/><Relationship Id="rId24" Type="http://schemas.openxmlformats.org/officeDocument/2006/relationships/hyperlink" Target="http://dol.gov/odep" TargetMode="External"/><Relationship Id="rId32" Type="http://schemas.openxmlformats.org/officeDocument/2006/relationships/hyperlink" Target="https://www.tdi.texas.gov/wc/rtw/documents/rtwguide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ada.gov" TargetMode="External"/><Relationship Id="rId15" Type="http://schemas.openxmlformats.org/officeDocument/2006/relationships/hyperlink" Target="https://www.osha.gov/law-regs.html" TargetMode="External"/><Relationship Id="rId23" Type="http://schemas.openxmlformats.org/officeDocument/2006/relationships/hyperlink" Target="https://www.ssa.gov/redbook/eng/overview-disability.htm" TargetMode="External"/><Relationship Id="rId28" Type="http://schemas.openxmlformats.org/officeDocument/2006/relationships/hyperlink" Target="https://sbwc.georgia.gov/sites/sbwc.georgia.gov/files/related_files/site_page/ModelReturnToWorkProgram.pdf" TargetMode="External"/><Relationship Id="rId36" Type="http://schemas.openxmlformats.org/officeDocument/2006/relationships/hyperlink" Target="https://www.csg.org/seed_report.pdf" TargetMode="External"/><Relationship Id="rId10" Type="http://schemas.openxmlformats.org/officeDocument/2006/relationships/hyperlink" Target="http://www.tndisability.org/our-publications" TargetMode="External"/><Relationship Id="rId19" Type="http://schemas.openxmlformats.org/officeDocument/2006/relationships/hyperlink" Target="https://www.eeoc.gov/laws/regulations/qanda-ada-disabilities-final-rule.cfm" TargetMode="External"/><Relationship Id="rId31" Type="http://schemas.openxmlformats.org/officeDocument/2006/relationships/hyperlink" Target="http://www.wcb.ny.gov/content/main/ReturnToWork/ReturnToWork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tedspinal.org/pdf/DisabilityEtiquette.pdf" TargetMode="External"/><Relationship Id="rId14" Type="http://schemas.openxmlformats.org/officeDocument/2006/relationships/hyperlink" Target="https://www.csg.org/NTPWD/documents/SEED_Report_2006_000.pdf" TargetMode="External"/><Relationship Id="rId22" Type="http://schemas.openxmlformats.org/officeDocument/2006/relationships/hyperlink" Target="http://www.dol.gov/odep/topics/stay-at-work-return-to-work.htm" TargetMode="External"/><Relationship Id="rId27" Type="http://schemas.openxmlformats.org/officeDocument/2006/relationships/hyperlink" Target="https://www.dir.ca.gov/chswc/Reports/2010/HandbookRTW_2010.pdf" TargetMode="External"/><Relationship Id="rId30" Type="http://schemas.openxmlformats.org/officeDocument/2006/relationships/hyperlink" Target="https://www.worksafemt.com/media/WSMT_SAW-RTW_%20Best_Practices.pdf" TargetMode="External"/><Relationship Id="rId35" Type="http://schemas.openxmlformats.org/officeDocument/2006/relationships/hyperlink" Target="http://www.wvinsurance.gov/Portals/0/pdf/SAWC%20RTW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B76BA583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Shafford</dc:creator>
  <cp:keywords/>
  <dc:description/>
  <cp:lastModifiedBy>Nancy Van Loan</cp:lastModifiedBy>
  <cp:revision>2</cp:revision>
  <dcterms:created xsi:type="dcterms:W3CDTF">2019-07-03T15:48:00Z</dcterms:created>
  <dcterms:modified xsi:type="dcterms:W3CDTF">2019-07-03T15:48:00Z</dcterms:modified>
</cp:coreProperties>
</file>